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DB" w:rsidRDefault="00206CDB"/>
    <w:p w:rsidR="00206CDB" w:rsidRPr="00A97588" w:rsidRDefault="001656C7" w:rsidP="00206CDB">
      <w:pPr>
        <w:pStyle w:val="Heading1"/>
        <w:rPr>
          <w:rFonts w:ascii="Times New Roman" w:hAnsi="Times New Roman" w:cs="Times New Roman"/>
          <w:b w:val="0"/>
          <w:bCs w:val="0"/>
        </w:rPr>
      </w:pPr>
      <w:bookmarkStart w:id="0" w:name="_Toc331673037"/>
      <w:r>
        <w:rPr>
          <w:rFonts w:ascii="Times New Roman" w:hAnsi="Times New Roman" w:cs="Times New Roman"/>
          <w:b w:val="0"/>
          <w:bCs w:val="0"/>
        </w:rPr>
        <w:t>027 Grammar 09 -</w:t>
      </w:r>
      <w:bookmarkStart w:id="1" w:name="_GoBack"/>
      <w:bookmarkEnd w:id="1"/>
      <w:r w:rsidR="00206CDB">
        <w:rPr>
          <w:rFonts w:ascii="Times New Roman" w:hAnsi="Times New Roman" w:cs="Times New Roman"/>
          <w:b w:val="0"/>
          <w:bCs w:val="0"/>
        </w:rPr>
        <w:t xml:space="preserve"> Pronouns</w:t>
      </w:r>
      <w:bookmarkEnd w:id="0"/>
    </w:p>
    <w:p w:rsidR="00206CDB" w:rsidRDefault="00206CDB" w:rsidP="00206CDB"/>
    <w:p w:rsidR="00206CDB" w:rsidRDefault="00206CDB" w:rsidP="00206CDB">
      <w:r>
        <w:rPr>
          <w:noProof/>
        </w:rPr>
        <w:drawing>
          <wp:anchor distT="0" distB="0" distL="114300" distR="114300" simplePos="0" relativeHeight="251659264" behindDoc="1" locked="0" layoutInCell="1" allowOverlap="1" wp14:anchorId="4934AED2" wp14:editId="0523916C">
            <wp:simplePos x="0" y="0"/>
            <wp:positionH relativeFrom="column">
              <wp:posOffset>-106591</wp:posOffset>
            </wp:positionH>
            <wp:positionV relativeFrom="paragraph">
              <wp:posOffset>91204</wp:posOffset>
            </wp:positionV>
            <wp:extent cx="3048429" cy="4064572"/>
            <wp:effectExtent l="152400" t="152400" r="361950" b="355600"/>
            <wp:wrapTight wrapText="bothSides">
              <wp:wrapPolygon edited="0">
                <wp:start x="540" y="-810"/>
                <wp:lineTo x="-1080" y="-608"/>
                <wp:lineTo x="-945" y="22174"/>
                <wp:lineTo x="810" y="23186"/>
                <wp:lineTo x="945" y="23389"/>
                <wp:lineTo x="22005" y="23389"/>
                <wp:lineTo x="22140" y="23186"/>
                <wp:lineTo x="23895" y="22174"/>
                <wp:lineTo x="24030" y="1013"/>
                <wp:lineTo x="22410" y="-506"/>
                <wp:lineTo x="22275" y="-810"/>
                <wp:lineTo x="540" y="-81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d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429" cy="4064572"/>
                    </a:xfrm>
                    <a:prstGeom prst="rect">
                      <a:avLst/>
                    </a:prstGeom>
                    <a:ln>
                      <a:noFill/>
                    </a:ln>
                    <a:effectLst>
                      <a:outerShdw blurRad="292100" dist="139700" dir="2700000" algn="tl" rotWithShape="0">
                        <a:srgbClr val="333333">
                          <a:alpha val="65000"/>
                        </a:srgbClr>
                      </a:outerShdw>
                    </a:effectLst>
                  </pic:spPr>
                </pic:pic>
              </a:graphicData>
            </a:graphic>
          </wp:anchor>
        </w:drawing>
      </w:r>
    </w:p>
    <w:p w:rsidR="00206CDB" w:rsidRDefault="00206CDB" w:rsidP="00206CDB">
      <w:r>
        <w:t xml:space="preserve">A </w:t>
      </w:r>
      <w:r w:rsidRPr="00DC2E01">
        <w:rPr>
          <w:b/>
        </w:rPr>
        <w:t>pronoun</w:t>
      </w:r>
      <w:r>
        <w:t xml:space="preserve"> is a word that takes the place of a noun to avoid repetition.  These words “stand in” for the proper names of people, places, things, or ideas to enable writers to vary the style and sound of their sentences.    We use pronouns so frequently in English that often we do not even notice when we are using them.  </w:t>
      </w:r>
    </w:p>
    <w:p w:rsidR="00206CDB" w:rsidRDefault="00206CDB" w:rsidP="00206CDB"/>
    <w:p w:rsidR="00206CDB" w:rsidRDefault="00206CDB" w:rsidP="00206CDB">
      <w:r>
        <w:t xml:space="preserve">Here are some examples of pronouns at work.   </w:t>
      </w:r>
    </w:p>
    <w:p w:rsidR="00206CDB" w:rsidRDefault="00206CDB" w:rsidP="00206CDB"/>
    <w:p w:rsidR="00206CDB" w:rsidRDefault="00206CDB" w:rsidP="00206CDB">
      <w:pPr>
        <w:ind w:left="720"/>
      </w:pPr>
      <w:r>
        <w:t>Example 1 (without pronouns): John went to John’s house so John could wait for John’s visitors.</w:t>
      </w:r>
    </w:p>
    <w:p w:rsidR="00206CDB" w:rsidRDefault="00206CDB" w:rsidP="00206CDB">
      <w:pPr>
        <w:ind w:left="720"/>
      </w:pPr>
    </w:p>
    <w:p w:rsidR="00206CDB" w:rsidRDefault="00206CDB" w:rsidP="00206CDB">
      <w:pPr>
        <w:ind w:left="720"/>
      </w:pPr>
      <w:r>
        <w:t xml:space="preserve">Example 1 (with pronouns):  John went to </w:t>
      </w:r>
      <w:r w:rsidRPr="00567C0A">
        <w:rPr>
          <w:b/>
          <w:u w:val="single"/>
        </w:rPr>
        <w:t>his</w:t>
      </w:r>
      <w:r>
        <w:t xml:space="preserve"> house so </w:t>
      </w:r>
      <w:r w:rsidRPr="00567C0A">
        <w:rPr>
          <w:b/>
          <w:u w:val="single"/>
        </w:rPr>
        <w:t>he</w:t>
      </w:r>
      <w:r>
        <w:t xml:space="preserve"> could wait for </w:t>
      </w:r>
      <w:r w:rsidRPr="00567C0A">
        <w:rPr>
          <w:b/>
          <w:u w:val="single"/>
        </w:rPr>
        <w:t>his</w:t>
      </w:r>
      <w:r>
        <w:t xml:space="preserve"> visitors.</w:t>
      </w:r>
    </w:p>
    <w:p w:rsidR="00206CDB" w:rsidRDefault="00206CDB" w:rsidP="00206CDB"/>
    <w:p w:rsidR="00206CDB" w:rsidRDefault="00206CDB" w:rsidP="00206CDB">
      <w:r>
        <w:t xml:space="preserve">Here, the writer replaces the second, third, and fourth references to “John” with pronouns; this sounds natural and clear in English.  Not using pronouns would sound overly formal, even foreign or strange, to most native speakers of English.  Without replacing “John” with pronouns, one might wonder if the writer was referring to multiple individuals named John in Example 1.  </w:t>
      </w:r>
    </w:p>
    <w:p w:rsidR="00206CDB" w:rsidRDefault="00206CDB" w:rsidP="00206CDB"/>
    <w:p w:rsidR="00206CDB" w:rsidRDefault="00206CDB" w:rsidP="00206CDB">
      <w:r>
        <w:t xml:space="preserve">Consider another example:  </w:t>
      </w:r>
    </w:p>
    <w:p w:rsidR="00206CDB" w:rsidRDefault="00206CDB" w:rsidP="00206CDB"/>
    <w:p w:rsidR="00206CDB" w:rsidRDefault="00206CDB" w:rsidP="00206CDB">
      <w:pPr>
        <w:ind w:left="720"/>
      </w:pPr>
      <w:r>
        <w:t>Example 2 (without pronouns) Mary will take Mary’s children to the daycare center so that Mary will have time to cook.</w:t>
      </w:r>
    </w:p>
    <w:p w:rsidR="00206CDB" w:rsidRDefault="00206CDB" w:rsidP="00206CDB">
      <w:pPr>
        <w:ind w:left="720"/>
      </w:pPr>
    </w:p>
    <w:p w:rsidR="00206CDB" w:rsidRDefault="00206CDB" w:rsidP="00206CDB">
      <w:pPr>
        <w:ind w:left="720"/>
      </w:pPr>
      <w:r>
        <w:t xml:space="preserve">Example 2 (with pronouns):  Mary will take </w:t>
      </w:r>
      <w:r w:rsidRPr="0071365A">
        <w:rPr>
          <w:b/>
          <w:u w:val="single"/>
        </w:rPr>
        <w:t>her</w:t>
      </w:r>
      <w:r>
        <w:t xml:space="preserve"> children to the daycare center so that </w:t>
      </w:r>
      <w:r w:rsidRPr="0071365A">
        <w:rPr>
          <w:b/>
          <w:u w:val="single"/>
        </w:rPr>
        <w:t>she</w:t>
      </w:r>
      <w:r>
        <w:t xml:space="preserve"> will have time to cook.</w:t>
      </w:r>
    </w:p>
    <w:p w:rsidR="00206CDB" w:rsidRDefault="00206CDB" w:rsidP="00206CDB">
      <w:r>
        <w:t xml:space="preserve"> </w:t>
      </w:r>
    </w:p>
    <w:p w:rsidR="00206CDB" w:rsidRDefault="00206CDB" w:rsidP="00206CDB">
      <w:r>
        <w:t xml:space="preserve">The same idea is at work here: the pronouns make the writing sound clear and </w:t>
      </w:r>
      <w:proofErr w:type="gramStart"/>
      <w:r>
        <w:t>natural, and</w:t>
      </w:r>
      <w:proofErr w:type="gramEnd"/>
      <w:r>
        <w:t xml:space="preserve"> inform the reader that the sentence refers back to the “Mary” mentioned earlier in the sentence.  </w:t>
      </w:r>
    </w:p>
    <w:p w:rsidR="00206CDB" w:rsidRDefault="00206CDB" w:rsidP="00206CDB"/>
    <w:p w:rsidR="00206CDB" w:rsidRDefault="00206CDB" w:rsidP="00206CDB">
      <w:pPr>
        <w:pStyle w:val="Heading2"/>
      </w:pPr>
      <w:bookmarkStart w:id="2" w:name="_Toc331673038"/>
      <w:r>
        <w:lastRenderedPageBreak/>
        <w:br/>
        <w:t>Pronoun Antecedents</w:t>
      </w:r>
      <w:bookmarkEnd w:id="2"/>
    </w:p>
    <w:p w:rsidR="00206CDB" w:rsidRDefault="00206CDB" w:rsidP="00206CDB">
      <w:pPr>
        <w:rPr>
          <w:b/>
        </w:rPr>
      </w:pPr>
    </w:p>
    <w:p w:rsidR="00206CDB" w:rsidRPr="0071365A" w:rsidRDefault="00206CDB" w:rsidP="00206CDB">
      <w:r w:rsidRPr="0071365A">
        <w:t xml:space="preserve">The noun that the pronoun refers to </w:t>
      </w:r>
      <w:r>
        <w:t xml:space="preserve">or “stands in” for </w:t>
      </w:r>
      <w:r w:rsidRPr="0071365A">
        <w:t xml:space="preserve">is known as the antecedent </w:t>
      </w:r>
      <w:r>
        <w:t xml:space="preserve">(an-tee-cee-dent) </w:t>
      </w:r>
      <w:r w:rsidRPr="0071365A">
        <w:t>of the pronoun.</w:t>
      </w:r>
    </w:p>
    <w:p w:rsidR="00206CDB" w:rsidRDefault="00206CDB" w:rsidP="00206CDB"/>
    <w:p w:rsidR="00206CDB" w:rsidRDefault="00206CDB" w:rsidP="00206CDB">
      <w:r>
        <w:t xml:space="preserve">For </w:t>
      </w:r>
      <w:proofErr w:type="gramStart"/>
      <w:r>
        <w:t>example</w:t>
      </w:r>
      <w:proofErr w:type="gramEnd"/>
      <w:r>
        <w:br/>
        <w:t xml:space="preserve"> </w:t>
      </w:r>
    </w:p>
    <w:p w:rsidR="00206CDB" w:rsidRDefault="00206CDB" w:rsidP="00206CDB">
      <w:pPr>
        <w:numPr>
          <w:ilvl w:val="0"/>
          <w:numId w:val="2"/>
        </w:numPr>
        <w:spacing w:after="200" w:line="276" w:lineRule="auto"/>
      </w:pPr>
      <w:r>
        <w:t xml:space="preserve">John said that he will travel tomorrow. (The pronoun is </w:t>
      </w:r>
      <w:r w:rsidRPr="006036A3">
        <w:rPr>
          <w:i/>
        </w:rPr>
        <w:t>he</w:t>
      </w:r>
      <w:r>
        <w:t xml:space="preserve">, and </w:t>
      </w:r>
      <w:r w:rsidRPr="006036A3">
        <w:rPr>
          <w:i/>
        </w:rPr>
        <w:t>John</w:t>
      </w:r>
      <w:r>
        <w:t xml:space="preserve"> is the antecedent).</w:t>
      </w:r>
    </w:p>
    <w:p w:rsidR="00206CDB" w:rsidRDefault="00206CDB" w:rsidP="00206CDB">
      <w:pPr>
        <w:numPr>
          <w:ilvl w:val="0"/>
          <w:numId w:val="2"/>
        </w:numPr>
        <w:spacing w:after="200" w:line="276" w:lineRule="auto"/>
      </w:pPr>
      <w:r>
        <w:t xml:space="preserve">The children played with their toys. (The pronoun is </w:t>
      </w:r>
      <w:proofErr w:type="spellStart"/>
      <w:r w:rsidRPr="007C214D">
        <w:rPr>
          <w:i/>
        </w:rPr>
        <w:t>their</w:t>
      </w:r>
      <w:proofErr w:type="spellEnd"/>
      <w:r>
        <w:t xml:space="preserve">, and </w:t>
      </w:r>
      <w:r w:rsidRPr="007C214D">
        <w:rPr>
          <w:i/>
        </w:rPr>
        <w:t>children</w:t>
      </w:r>
      <w:r>
        <w:t xml:space="preserve"> is the antecedent).</w:t>
      </w:r>
    </w:p>
    <w:p w:rsidR="00206CDB" w:rsidRDefault="00206CDB" w:rsidP="00206CDB"/>
    <w:p w:rsidR="00206CDB" w:rsidRPr="007C214D" w:rsidRDefault="00206CDB" w:rsidP="00206CDB">
      <w:pPr>
        <w:pStyle w:val="Heading3"/>
      </w:pPr>
      <w:bookmarkStart w:id="3" w:name="_Toc331673039"/>
      <w:r>
        <w:t>Agreement with Antecedents</w:t>
      </w:r>
      <w:bookmarkEnd w:id="3"/>
    </w:p>
    <w:p w:rsidR="00206CDB" w:rsidRPr="00820251" w:rsidRDefault="00206CDB" w:rsidP="00206CDB">
      <w:r w:rsidRPr="00820251">
        <w:t xml:space="preserve">Pronouns must </w:t>
      </w:r>
      <w:r>
        <w:t xml:space="preserve">always </w:t>
      </w:r>
      <w:r w:rsidRPr="00820251">
        <w:t>agree in person, number and gender with their antecedents.</w:t>
      </w:r>
      <w:r>
        <w:t xml:space="preserve">  </w:t>
      </w:r>
      <w:r w:rsidRPr="00820251">
        <w:br/>
      </w:r>
    </w:p>
    <w:p w:rsidR="00206CDB" w:rsidRDefault="00206CDB" w:rsidP="00206CDB">
      <w:r>
        <w:t>Here are some examples:</w:t>
      </w:r>
    </w:p>
    <w:p w:rsidR="00206CDB" w:rsidRDefault="00206CDB" w:rsidP="00206CDB"/>
    <w:p w:rsidR="00206CDB" w:rsidRDefault="00206CDB" w:rsidP="00206CDB">
      <w:pPr>
        <w:numPr>
          <w:ilvl w:val="0"/>
          <w:numId w:val="8"/>
        </w:numPr>
      </w:pPr>
      <w:r>
        <w:t xml:space="preserve">If </w:t>
      </w:r>
      <w:r w:rsidRPr="00820251">
        <w:rPr>
          <w:b/>
        </w:rPr>
        <w:t>a person</w:t>
      </w:r>
      <w:r>
        <w:t xml:space="preserve"> wants to write an essay, </w:t>
      </w:r>
      <w:r w:rsidRPr="00820251">
        <w:rPr>
          <w:b/>
        </w:rPr>
        <w:t>he or she</w:t>
      </w:r>
      <w:r>
        <w:t xml:space="preserve"> should start with a pre-writing technique.  (the antecedent is singular, so the pronouns are singular as well)</w:t>
      </w:r>
      <w:r>
        <w:br/>
      </w:r>
    </w:p>
    <w:p w:rsidR="00206CDB" w:rsidRDefault="00206CDB" w:rsidP="00206CDB">
      <w:pPr>
        <w:numPr>
          <w:ilvl w:val="0"/>
          <w:numId w:val="8"/>
        </w:numPr>
      </w:pPr>
      <w:r>
        <w:t xml:space="preserve">If </w:t>
      </w:r>
      <w:r w:rsidRPr="00820251">
        <w:rPr>
          <w:b/>
        </w:rPr>
        <w:t>people</w:t>
      </w:r>
      <w:r>
        <w:t xml:space="preserve"> want to write essays, </w:t>
      </w:r>
      <w:r w:rsidRPr="00820251">
        <w:rPr>
          <w:b/>
        </w:rPr>
        <w:t>they</w:t>
      </w:r>
      <w:r>
        <w:t xml:space="preserve"> should start with pre-writing techniques.  (the antecedent is plural, so the pronoun “they” is plural)</w:t>
      </w:r>
      <w:r>
        <w:br/>
      </w:r>
    </w:p>
    <w:p w:rsidR="00206CDB" w:rsidRDefault="00206CDB" w:rsidP="00206CDB">
      <w:pPr>
        <w:numPr>
          <w:ilvl w:val="0"/>
          <w:numId w:val="8"/>
        </w:numPr>
      </w:pPr>
      <w:r>
        <w:t xml:space="preserve">Each </w:t>
      </w:r>
      <w:r w:rsidRPr="00820251">
        <w:rPr>
          <w:b/>
        </w:rPr>
        <w:t xml:space="preserve">computer </w:t>
      </w:r>
      <w:r>
        <w:t xml:space="preserve">has </w:t>
      </w:r>
      <w:r w:rsidRPr="00820251">
        <w:rPr>
          <w:b/>
        </w:rPr>
        <w:t>its</w:t>
      </w:r>
      <w:r>
        <w:t xml:space="preserve"> own monitor. (singular antecedent, singular pronoun) </w:t>
      </w:r>
      <w:r>
        <w:br/>
      </w:r>
    </w:p>
    <w:p w:rsidR="00206CDB" w:rsidRDefault="00206CDB" w:rsidP="00206CDB">
      <w:pPr>
        <w:numPr>
          <w:ilvl w:val="0"/>
          <w:numId w:val="8"/>
        </w:numPr>
      </w:pPr>
      <w:r>
        <w:t xml:space="preserve">Both </w:t>
      </w:r>
      <w:r w:rsidRPr="00820251">
        <w:rPr>
          <w:b/>
        </w:rPr>
        <w:t>computers</w:t>
      </w:r>
      <w:r>
        <w:t xml:space="preserve"> have </w:t>
      </w:r>
      <w:r w:rsidRPr="00820251">
        <w:rPr>
          <w:b/>
        </w:rPr>
        <w:t>their</w:t>
      </w:r>
      <w:r>
        <w:t xml:space="preserve"> own monitors.  (plural antecedent, plural pronoun)</w:t>
      </w:r>
      <w:r>
        <w:br/>
      </w:r>
    </w:p>
    <w:p w:rsidR="00206CDB" w:rsidRDefault="00206CDB" w:rsidP="00206CDB">
      <w:pPr>
        <w:numPr>
          <w:ilvl w:val="0"/>
          <w:numId w:val="8"/>
        </w:numPr>
      </w:pPr>
      <w:r>
        <w:t xml:space="preserve">If the </w:t>
      </w:r>
      <w:r w:rsidRPr="009C23F2">
        <w:rPr>
          <w:b/>
        </w:rPr>
        <w:t>team</w:t>
      </w:r>
      <w:r>
        <w:t xml:space="preserve"> is able, </w:t>
      </w:r>
      <w:r w:rsidRPr="009C23F2">
        <w:rPr>
          <w:b/>
        </w:rPr>
        <w:t>they</w:t>
      </w:r>
      <w:r>
        <w:t xml:space="preserve"> will play the game and not forfeit.  (plural antecedent, plural pronoun).  </w:t>
      </w:r>
      <w:r>
        <w:tab/>
      </w:r>
      <w:r>
        <w:tab/>
      </w:r>
    </w:p>
    <w:p w:rsidR="00206CDB" w:rsidRDefault="00206CDB" w:rsidP="00206CDB"/>
    <w:p w:rsidR="00206CDB" w:rsidRDefault="00206CDB" w:rsidP="00206CDB"/>
    <w:p w:rsidR="00206CDB" w:rsidRDefault="00206CDB" w:rsidP="00206CDB">
      <w:pPr>
        <w:pStyle w:val="Caption"/>
      </w:pPr>
      <w:bookmarkStart w:id="4" w:name="_Toc323823555"/>
      <w:bookmarkStart w:id="5" w:name="_Toc329283343"/>
      <w:r>
        <w:t>Exercise: Pronoun Antecedents</w:t>
      </w:r>
      <w:bookmarkEnd w:id="4"/>
      <w:bookmarkEnd w:id="5"/>
    </w:p>
    <w:p w:rsidR="00206CDB" w:rsidRDefault="00206CDB" w:rsidP="00206CDB"/>
    <w:p w:rsidR="00206CDB" w:rsidRDefault="00206CDB" w:rsidP="00206CDB">
      <w:r>
        <w:t xml:space="preserve">Correct each use of pronouns below to agree with its antecedent.  </w:t>
      </w:r>
    </w:p>
    <w:p w:rsidR="00206CDB" w:rsidRDefault="00206CDB" w:rsidP="00206CDB"/>
    <w:p w:rsidR="00206CDB" w:rsidRDefault="00206CDB" w:rsidP="00206CDB">
      <w:pPr>
        <w:numPr>
          <w:ilvl w:val="0"/>
          <w:numId w:val="12"/>
        </w:numPr>
      </w:pPr>
      <w:r>
        <w:t xml:space="preserve">If people think they will succeed, he or she will.      </w:t>
      </w:r>
      <w:r>
        <w:br/>
      </w:r>
      <w:r>
        <w:br/>
        <w:t>Antecedent ___________   Correct Pronoun ________________</w:t>
      </w:r>
      <w:r>
        <w:br/>
      </w:r>
    </w:p>
    <w:p w:rsidR="00206CDB" w:rsidRDefault="00206CDB" w:rsidP="00206CDB">
      <w:pPr>
        <w:numPr>
          <w:ilvl w:val="0"/>
          <w:numId w:val="12"/>
        </w:numPr>
      </w:pPr>
      <w:r>
        <w:t>Each soldier has their own backpack with lots of gear in it.</w:t>
      </w:r>
      <w:r>
        <w:br/>
      </w:r>
      <w:r>
        <w:br/>
        <w:t>Antecedent ___________   Correct Pronoun ________________</w:t>
      </w:r>
      <w:r>
        <w:br/>
      </w:r>
      <w:r>
        <w:br/>
      </w:r>
      <w:r>
        <w:lastRenderedPageBreak/>
        <w:br/>
      </w:r>
    </w:p>
    <w:p w:rsidR="00206CDB" w:rsidRDefault="00206CDB" w:rsidP="00206CDB">
      <w:pPr>
        <w:numPr>
          <w:ilvl w:val="0"/>
          <w:numId w:val="12"/>
        </w:numPr>
      </w:pPr>
      <w:r>
        <w:t>Somebody dropped their homework on the ground.</w:t>
      </w:r>
      <w:r>
        <w:br/>
      </w:r>
      <w:r>
        <w:br/>
        <w:t>Antecedent ___________   Correct Pronoun ________________</w:t>
      </w:r>
      <w:r>
        <w:br/>
      </w:r>
    </w:p>
    <w:p w:rsidR="00206CDB" w:rsidRDefault="00206CDB" w:rsidP="00206CDB">
      <w:pPr>
        <w:numPr>
          <w:ilvl w:val="0"/>
          <w:numId w:val="12"/>
        </w:numPr>
      </w:pPr>
      <w:r>
        <w:t>Mavis or Calliope left his glass on the counter.</w:t>
      </w:r>
      <w:r>
        <w:br/>
      </w:r>
      <w:r>
        <w:br/>
        <w:t>Antecedent ___________   Correct Pronoun ________________</w:t>
      </w:r>
      <w:r>
        <w:br/>
      </w:r>
    </w:p>
    <w:p w:rsidR="00206CDB" w:rsidRDefault="00206CDB" w:rsidP="00206CDB">
      <w:pPr>
        <w:numPr>
          <w:ilvl w:val="0"/>
          <w:numId w:val="12"/>
        </w:numPr>
      </w:pPr>
      <w:proofErr w:type="gramStart"/>
      <w:r>
        <w:t>All of</w:t>
      </w:r>
      <w:proofErr w:type="gramEnd"/>
      <w:r>
        <w:t xml:space="preserve"> the students liked her new teacher.</w:t>
      </w:r>
      <w:r>
        <w:br/>
      </w:r>
      <w:r>
        <w:br/>
        <w:t>Antecedent ___________   Correct Pronoun ________________</w:t>
      </w:r>
      <w:r>
        <w:br/>
      </w:r>
    </w:p>
    <w:p w:rsidR="00206CDB" w:rsidRDefault="00206CDB" w:rsidP="00206CDB">
      <w:pPr>
        <w:numPr>
          <w:ilvl w:val="0"/>
          <w:numId w:val="12"/>
        </w:numPr>
      </w:pPr>
      <w:r>
        <w:t xml:space="preserve">Calvin or </w:t>
      </w:r>
      <w:proofErr w:type="spellStart"/>
      <w:r>
        <w:t>DeJuan</w:t>
      </w:r>
      <w:proofErr w:type="spellEnd"/>
      <w:r>
        <w:t xml:space="preserve"> bought their car at </w:t>
      </w:r>
      <w:proofErr w:type="spellStart"/>
      <w:r>
        <w:t>CarPlace</w:t>
      </w:r>
      <w:proofErr w:type="spellEnd"/>
      <w:r>
        <w:t>.</w:t>
      </w:r>
      <w:r>
        <w:br/>
      </w:r>
      <w:r>
        <w:br/>
        <w:t>Antecedent ___________   Correct Pronoun ________________</w:t>
      </w:r>
      <w:r>
        <w:br/>
      </w:r>
    </w:p>
    <w:p w:rsidR="00206CDB" w:rsidRDefault="00206CDB" w:rsidP="00206CDB">
      <w:pPr>
        <w:numPr>
          <w:ilvl w:val="0"/>
          <w:numId w:val="12"/>
        </w:numPr>
      </w:pPr>
      <w:r>
        <w:t>Everyone must wash their hands before sitting down for lunch.</w:t>
      </w:r>
      <w:r>
        <w:br/>
      </w:r>
      <w:r>
        <w:br/>
        <w:t>Antecedent ___________   Correct Pronoun ________________</w:t>
      </w:r>
      <w:r>
        <w:br/>
      </w:r>
    </w:p>
    <w:p w:rsidR="00206CDB" w:rsidRDefault="00206CDB" w:rsidP="00206CDB">
      <w:pPr>
        <w:numPr>
          <w:ilvl w:val="0"/>
          <w:numId w:val="12"/>
        </w:numPr>
      </w:pPr>
      <w:r>
        <w:t xml:space="preserve">Phillip remembered that the other student had forgotten their permission slip for the field trip. </w:t>
      </w:r>
      <w:r>
        <w:br/>
      </w:r>
      <w:r>
        <w:br/>
        <w:t>Antecedent ___________   Correct Pronoun ________________</w:t>
      </w:r>
      <w:r>
        <w:br/>
      </w:r>
    </w:p>
    <w:p w:rsidR="00206CDB" w:rsidRDefault="00206CDB" w:rsidP="00206CDB">
      <w:pPr>
        <w:numPr>
          <w:ilvl w:val="0"/>
          <w:numId w:val="12"/>
        </w:numPr>
      </w:pPr>
      <w:r>
        <w:t>Nobody is willing to give up their Saturday off to make the compliance deadline.</w:t>
      </w:r>
      <w:r>
        <w:br/>
      </w:r>
      <w:r>
        <w:br/>
        <w:t>Antecedent ___________   Correct Pronoun ________________</w:t>
      </w:r>
      <w:r>
        <w:br/>
      </w:r>
    </w:p>
    <w:p w:rsidR="00206CDB" w:rsidRDefault="00206CDB" w:rsidP="00206CDB">
      <w:pPr>
        <w:numPr>
          <w:ilvl w:val="0"/>
          <w:numId w:val="12"/>
        </w:numPr>
      </w:pPr>
      <w:r>
        <w:t xml:space="preserve"> The teams cannot play its best when it has not trained.</w:t>
      </w:r>
      <w:r>
        <w:br/>
      </w:r>
      <w:r>
        <w:br/>
        <w:t>Antecedent ___________   Correct Pronoun ________________</w:t>
      </w:r>
      <w:r>
        <w:br/>
      </w:r>
    </w:p>
    <w:p w:rsidR="00206CDB" w:rsidRDefault="00206CDB" w:rsidP="00206CDB">
      <w:pPr>
        <w:ind w:left="1080"/>
      </w:pPr>
    </w:p>
    <w:p w:rsidR="00206CDB" w:rsidRDefault="00206CDB" w:rsidP="00206CDB"/>
    <w:p w:rsidR="00206CDB" w:rsidRDefault="00206CDB" w:rsidP="00206CDB">
      <w:r>
        <w:t xml:space="preserve"> </w:t>
      </w:r>
    </w:p>
    <w:p w:rsidR="00206CDB" w:rsidRDefault="00206CDB">
      <w:pPr>
        <w:spacing w:after="160" w:line="259" w:lineRule="auto"/>
      </w:pPr>
      <w:r>
        <w:br w:type="page"/>
      </w:r>
    </w:p>
    <w:p w:rsidR="00206CDB" w:rsidRDefault="00206CDB" w:rsidP="00206CDB"/>
    <w:p w:rsidR="00206CDB" w:rsidRDefault="00206CDB" w:rsidP="00206CDB">
      <w:pPr>
        <w:pStyle w:val="Heading2"/>
      </w:pPr>
      <w:bookmarkStart w:id="6" w:name="_Toc331673040"/>
      <w:r>
        <w:t>Types of Pronouns</w:t>
      </w:r>
      <w:bookmarkEnd w:id="6"/>
    </w:p>
    <w:p w:rsidR="00206CDB" w:rsidRDefault="00206CDB" w:rsidP="00206CDB"/>
    <w:p w:rsidR="00206CDB" w:rsidRDefault="00206CDB" w:rsidP="00206CDB">
      <w:r>
        <w:t>Pronouns can be divided into several categories. They are personal pronouns, relative pronouns, demonstrative pronouns, indefinite pronouns, and reflexive pronouns.</w:t>
      </w:r>
    </w:p>
    <w:p w:rsidR="00206CDB" w:rsidRDefault="00206CDB" w:rsidP="00206CDB">
      <w:pPr>
        <w:rPr>
          <w:b/>
        </w:rPr>
      </w:pPr>
    </w:p>
    <w:p w:rsidR="00206CDB" w:rsidRDefault="00206CDB" w:rsidP="00206CDB">
      <w:pPr>
        <w:pStyle w:val="Heading2"/>
      </w:pPr>
      <w:bookmarkStart w:id="7" w:name="_Toc331673041"/>
      <w:r>
        <w:t>Personal Pronouns</w:t>
      </w:r>
      <w:bookmarkEnd w:id="7"/>
    </w:p>
    <w:p w:rsidR="00206CDB" w:rsidRDefault="00206CDB" w:rsidP="00206CDB">
      <w:pPr>
        <w:rPr>
          <w:b/>
        </w:rPr>
      </w:pPr>
    </w:p>
    <w:p w:rsidR="00206CDB" w:rsidRDefault="00206CDB" w:rsidP="00206CDB">
      <w:r w:rsidRPr="007C214D">
        <w:rPr>
          <w:b/>
        </w:rPr>
        <w:t>Personal pronouns</w:t>
      </w:r>
      <w:r>
        <w:t xml:space="preserve"> refer to a specific person or </w:t>
      </w:r>
      <w:proofErr w:type="gramStart"/>
      <w:r>
        <w:t>thing, and</w:t>
      </w:r>
      <w:proofErr w:type="gramEnd"/>
      <w:r>
        <w:t xml:space="preserve"> are divided into three forms depending on how they are used in a sentence. These forms are </w:t>
      </w:r>
      <w:r w:rsidRPr="001B228F">
        <w:rPr>
          <w:i/>
        </w:rPr>
        <w:t>subjective</w:t>
      </w:r>
      <w:r>
        <w:t xml:space="preserve"> (a pronoun used as subject or “actor” in a clause), </w:t>
      </w:r>
      <w:r w:rsidRPr="001B228F">
        <w:rPr>
          <w:i/>
        </w:rPr>
        <w:t>objective</w:t>
      </w:r>
      <w:r>
        <w:t xml:space="preserve"> (a pronoun used as an object or thing that is acted upon in a clause), and </w:t>
      </w:r>
      <w:r w:rsidRPr="001B228F">
        <w:rPr>
          <w:i/>
        </w:rPr>
        <w:t>possessive</w:t>
      </w:r>
      <w:r>
        <w:t xml:space="preserve"> (a pronoun used to indicate possession/ownership).</w:t>
      </w:r>
    </w:p>
    <w:p w:rsidR="00206CDB" w:rsidRDefault="00206CDB" w:rsidP="00206CDB"/>
    <w:p w:rsidR="00206CDB" w:rsidRDefault="00206CDB" w:rsidP="00206CDB">
      <w:r>
        <w:t>Pronouns that act as the subject or actor in a clause:</w:t>
      </w:r>
    </w:p>
    <w:p w:rsidR="00206CDB" w:rsidRDefault="00206CDB" w:rsidP="00206CDB"/>
    <w:tbl>
      <w:tblPr>
        <w:tblW w:w="0" w:type="auto"/>
        <w:jc w:val="center"/>
        <w:tblLook w:val="04A0" w:firstRow="1" w:lastRow="0" w:firstColumn="1" w:lastColumn="0" w:noHBand="0" w:noVBand="1"/>
      </w:tblPr>
      <w:tblGrid>
        <w:gridCol w:w="1800"/>
        <w:gridCol w:w="2430"/>
        <w:gridCol w:w="1620"/>
      </w:tblGrid>
      <w:tr w:rsidR="00206CDB" w:rsidTr="00895839">
        <w:trPr>
          <w:jc w:val="center"/>
        </w:trPr>
        <w:tc>
          <w:tcPr>
            <w:tcW w:w="1800" w:type="dxa"/>
            <w:shd w:val="clear" w:color="auto" w:fill="auto"/>
          </w:tcPr>
          <w:p w:rsidR="00206CDB" w:rsidRDefault="00206CDB" w:rsidP="00895839"/>
        </w:tc>
        <w:tc>
          <w:tcPr>
            <w:tcW w:w="2430" w:type="dxa"/>
            <w:shd w:val="clear" w:color="auto" w:fill="auto"/>
          </w:tcPr>
          <w:p w:rsidR="00206CDB" w:rsidRPr="006D0203" w:rsidRDefault="00206CDB" w:rsidP="00895839">
            <w:pPr>
              <w:rPr>
                <w:b/>
              </w:rPr>
            </w:pPr>
            <w:r w:rsidRPr="006D0203">
              <w:rPr>
                <w:b/>
              </w:rPr>
              <w:t>Singular</w:t>
            </w:r>
          </w:p>
        </w:tc>
        <w:tc>
          <w:tcPr>
            <w:tcW w:w="1620" w:type="dxa"/>
            <w:shd w:val="clear" w:color="auto" w:fill="auto"/>
          </w:tcPr>
          <w:p w:rsidR="00206CDB" w:rsidRPr="006D0203" w:rsidRDefault="00206CDB" w:rsidP="00895839">
            <w:pPr>
              <w:rPr>
                <w:b/>
              </w:rPr>
            </w:pPr>
            <w:r w:rsidRPr="006D0203">
              <w:rPr>
                <w:b/>
              </w:rPr>
              <w:t>Plural</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1</w:t>
            </w:r>
            <w:r w:rsidRPr="006D0203">
              <w:rPr>
                <w:b/>
                <w:vertAlign w:val="superscript"/>
              </w:rPr>
              <w:t>st</w:t>
            </w:r>
            <w:r w:rsidRPr="006D0203">
              <w:rPr>
                <w:b/>
              </w:rPr>
              <w:t xml:space="preserve"> person</w:t>
            </w:r>
          </w:p>
        </w:tc>
        <w:tc>
          <w:tcPr>
            <w:tcW w:w="2430" w:type="dxa"/>
            <w:shd w:val="clear" w:color="auto" w:fill="auto"/>
          </w:tcPr>
          <w:p w:rsidR="00206CDB" w:rsidRDefault="00206CDB" w:rsidP="00895839">
            <w:r>
              <w:t>I</w:t>
            </w:r>
          </w:p>
        </w:tc>
        <w:tc>
          <w:tcPr>
            <w:tcW w:w="1620" w:type="dxa"/>
            <w:shd w:val="clear" w:color="auto" w:fill="auto"/>
          </w:tcPr>
          <w:p w:rsidR="00206CDB" w:rsidRDefault="00206CDB" w:rsidP="00895839">
            <w:r>
              <w:t>We</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2</w:t>
            </w:r>
            <w:r w:rsidRPr="006D0203">
              <w:rPr>
                <w:b/>
                <w:vertAlign w:val="superscript"/>
              </w:rPr>
              <w:t>nd</w:t>
            </w:r>
            <w:r w:rsidRPr="006D0203">
              <w:rPr>
                <w:b/>
              </w:rPr>
              <w:t xml:space="preserve"> person</w:t>
            </w:r>
          </w:p>
        </w:tc>
        <w:tc>
          <w:tcPr>
            <w:tcW w:w="2430" w:type="dxa"/>
            <w:shd w:val="clear" w:color="auto" w:fill="auto"/>
          </w:tcPr>
          <w:p w:rsidR="00206CDB" w:rsidRDefault="00206CDB" w:rsidP="00895839">
            <w:r>
              <w:t>You</w:t>
            </w:r>
          </w:p>
        </w:tc>
        <w:tc>
          <w:tcPr>
            <w:tcW w:w="1620" w:type="dxa"/>
            <w:shd w:val="clear" w:color="auto" w:fill="auto"/>
          </w:tcPr>
          <w:p w:rsidR="00206CDB" w:rsidRDefault="00206CDB" w:rsidP="00895839">
            <w:r>
              <w:t>You</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3</w:t>
            </w:r>
            <w:r w:rsidRPr="006D0203">
              <w:rPr>
                <w:b/>
                <w:vertAlign w:val="superscript"/>
              </w:rPr>
              <w:t>rd</w:t>
            </w:r>
            <w:r w:rsidRPr="006D0203">
              <w:rPr>
                <w:b/>
              </w:rPr>
              <w:t xml:space="preserve"> person</w:t>
            </w:r>
          </w:p>
        </w:tc>
        <w:tc>
          <w:tcPr>
            <w:tcW w:w="2430" w:type="dxa"/>
            <w:shd w:val="clear" w:color="auto" w:fill="auto"/>
          </w:tcPr>
          <w:p w:rsidR="00206CDB" w:rsidRDefault="00206CDB" w:rsidP="00895839">
            <w:r>
              <w:t>He, She, It</w:t>
            </w:r>
          </w:p>
        </w:tc>
        <w:tc>
          <w:tcPr>
            <w:tcW w:w="1620" w:type="dxa"/>
            <w:shd w:val="clear" w:color="auto" w:fill="auto"/>
          </w:tcPr>
          <w:p w:rsidR="00206CDB" w:rsidRDefault="00206CDB" w:rsidP="00895839">
            <w:r>
              <w:t>They</w:t>
            </w:r>
          </w:p>
        </w:tc>
      </w:tr>
    </w:tbl>
    <w:p w:rsidR="00206CDB" w:rsidRDefault="00206CDB" w:rsidP="00206CDB"/>
    <w:p w:rsidR="00206CDB" w:rsidRDefault="00206CDB" w:rsidP="00206CDB">
      <w:r>
        <w:tab/>
      </w:r>
      <w:r>
        <w:tab/>
      </w:r>
    </w:p>
    <w:p w:rsidR="00206CDB" w:rsidRPr="006D0203" w:rsidRDefault="00206CDB" w:rsidP="00206CDB">
      <w:r>
        <w:t>Pronouns act as subjects / actors in two essential ways:  before a verb as a subject, and after a linking verb.</w:t>
      </w:r>
    </w:p>
    <w:p w:rsidR="00206CDB" w:rsidRDefault="00206CDB" w:rsidP="00206CDB"/>
    <w:p w:rsidR="00206CDB" w:rsidRDefault="00206CDB" w:rsidP="00206CDB">
      <w:r>
        <w:t xml:space="preserve">Here are some examples of the pronoun used </w:t>
      </w:r>
      <w:r w:rsidRPr="006D0203">
        <w:rPr>
          <w:i/>
        </w:rPr>
        <w:t>before</w:t>
      </w:r>
      <w:r>
        <w:t xml:space="preserve"> a verb as a subject:</w:t>
      </w:r>
      <w:r>
        <w:br/>
      </w:r>
    </w:p>
    <w:p w:rsidR="00206CDB" w:rsidRDefault="00206CDB" w:rsidP="00206CDB">
      <w:pPr>
        <w:numPr>
          <w:ilvl w:val="0"/>
          <w:numId w:val="1"/>
        </w:numPr>
        <w:spacing w:after="200" w:line="276" w:lineRule="auto"/>
      </w:pPr>
      <w:r>
        <w:t>She is my sister. (</w:t>
      </w:r>
      <w:r w:rsidRPr="007C214D">
        <w:rPr>
          <w:b/>
        </w:rPr>
        <w:t>She</w:t>
      </w:r>
      <w:r>
        <w:t xml:space="preserve"> is the subject of the verb</w:t>
      </w:r>
      <w:r w:rsidRPr="007C214D">
        <w:rPr>
          <w:b/>
        </w:rPr>
        <w:t xml:space="preserve"> is</w:t>
      </w:r>
      <w:r>
        <w:t>)</w:t>
      </w:r>
    </w:p>
    <w:p w:rsidR="00206CDB" w:rsidRDefault="00206CDB" w:rsidP="00206CDB">
      <w:pPr>
        <w:numPr>
          <w:ilvl w:val="0"/>
          <w:numId w:val="1"/>
        </w:numPr>
        <w:spacing w:after="200" w:line="276" w:lineRule="auto"/>
      </w:pPr>
      <w:r>
        <w:t>He did not tell me that he would be visiting my classroom this morning.   (</w:t>
      </w:r>
      <w:r w:rsidRPr="001B228F">
        <w:rPr>
          <w:b/>
        </w:rPr>
        <w:t>He</w:t>
      </w:r>
      <w:r>
        <w:t xml:space="preserve"> is the subject of the verbs </w:t>
      </w:r>
      <w:r>
        <w:rPr>
          <w:i/>
        </w:rPr>
        <w:t xml:space="preserve">tell </w:t>
      </w:r>
      <w:r>
        <w:t xml:space="preserve">and </w:t>
      </w:r>
      <w:r>
        <w:rPr>
          <w:i/>
        </w:rPr>
        <w:t>be</w:t>
      </w:r>
      <w:r>
        <w:t xml:space="preserve">) </w:t>
      </w:r>
    </w:p>
    <w:p w:rsidR="00206CDB" w:rsidRDefault="00206CDB" w:rsidP="00206CDB">
      <w:pPr>
        <w:numPr>
          <w:ilvl w:val="0"/>
          <w:numId w:val="1"/>
        </w:numPr>
        <w:spacing w:after="200" w:line="276" w:lineRule="auto"/>
      </w:pPr>
      <w:r w:rsidRPr="003B020E">
        <w:rPr>
          <w:b/>
        </w:rPr>
        <w:t>They</w:t>
      </w:r>
      <w:r>
        <w:t xml:space="preserve"> didn’t complete their homework on time.</w:t>
      </w:r>
    </w:p>
    <w:p w:rsidR="00206CDB" w:rsidRDefault="00206CDB" w:rsidP="00206CDB">
      <w:pPr>
        <w:numPr>
          <w:ilvl w:val="0"/>
          <w:numId w:val="1"/>
        </w:numPr>
        <w:spacing w:after="200" w:line="276" w:lineRule="auto"/>
      </w:pPr>
      <w:r w:rsidRPr="003B020E">
        <w:rPr>
          <w:b/>
        </w:rPr>
        <w:t>She</w:t>
      </w:r>
      <w:r>
        <w:t xml:space="preserve"> is taller than </w:t>
      </w:r>
      <w:r w:rsidRPr="003B020E">
        <w:rPr>
          <w:b/>
        </w:rPr>
        <w:t>I</w:t>
      </w:r>
      <w:r>
        <w:t xml:space="preserve">.    (This is a tricky one—the I </w:t>
      </w:r>
      <w:proofErr w:type="gramStart"/>
      <w:r>
        <w:t>is</w:t>
      </w:r>
      <w:proofErr w:type="gramEnd"/>
      <w:r>
        <w:t xml:space="preserve"> the subject of a word that is </w:t>
      </w:r>
      <w:r w:rsidRPr="00963931">
        <w:rPr>
          <w:i/>
        </w:rPr>
        <w:t xml:space="preserve">implied </w:t>
      </w:r>
      <w:r>
        <w:t xml:space="preserve">here, “am.”   The meaning of the sentence is “She is taller than I am.”) </w:t>
      </w:r>
    </w:p>
    <w:p w:rsidR="00206CDB" w:rsidRDefault="00206CDB" w:rsidP="00206CDB">
      <w:pPr>
        <w:numPr>
          <w:ilvl w:val="0"/>
          <w:numId w:val="1"/>
        </w:numPr>
        <w:spacing w:after="200" w:line="276" w:lineRule="auto"/>
      </w:pPr>
      <w:r w:rsidRPr="003B020E">
        <w:rPr>
          <w:b/>
        </w:rPr>
        <w:t>She</w:t>
      </w:r>
      <w:r>
        <w:t xml:space="preserve"> dances better than </w:t>
      </w:r>
      <w:r w:rsidRPr="003B020E">
        <w:rPr>
          <w:b/>
        </w:rPr>
        <w:t>I</w:t>
      </w:r>
      <w:r>
        <w:t>.   (“She dances better than I dance.</w:t>
      </w:r>
      <w:proofErr w:type="gramStart"/>
      <w:r>
        <w:t>” )</w:t>
      </w:r>
      <w:proofErr w:type="gramEnd"/>
      <w:r>
        <w:t xml:space="preserve"> </w:t>
      </w:r>
    </w:p>
    <w:p w:rsidR="00206CDB" w:rsidRDefault="00206CDB" w:rsidP="00206CDB">
      <w:pPr>
        <w:spacing w:after="200" w:line="276" w:lineRule="auto"/>
        <w:ind w:left="1080"/>
      </w:pPr>
      <w:r>
        <w:t>Note:  When dealing with sentences with “</w:t>
      </w:r>
      <w:proofErr w:type="gramStart"/>
      <w:r>
        <w:t>than”  in</w:t>
      </w:r>
      <w:proofErr w:type="gramEnd"/>
      <w:r>
        <w:t xml:space="preserve"> them, try to figure out the verb that is left out; put the verb in, and the correct pronoun will be easier to find.   “She dances better than me” is not standard usage—it would translate to “She dances better than me dance,” which would strike most speakers of English as non-standard usage.  </w:t>
      </w:r>
    </w:p>
    <w:p w:rsidR="00206CDB" w:rsidRDefault="00206CDB" w:rsidP="00206CDB">
      <w:pPr>
        <w:spacing w:after="200" w:line="276" w:lineRule="auto"/>
      </w:pPr>
    </w:p>
    <w:p w:rsidR="00206CDB" w:rsidRDefault="00206CDB" w:rsidP="00206CDB">
      <w:pPr>
        <w:spacing w:after="200" w:line="276" w:lineRule="auto"/>
      </w:pPr>
      <w:r>
        <w:lastRenderedPageBreak/>
        <w:br/>
        <w:t xml:space="preserve">Here are some examples of a pronoun used </w:t>
      </w:r>
      <w:r w:rsidRPr="006D0203">
        <w:rPr>
          <w:i/>
        </w:rPr>
        <w:t>after</w:t>
      </w:r>
      <w:r>
        <w:t xml:space="preserve"> a linking verb like “is,” “am,” “was,” “are.”  </w:t>
      </w:r>
    </w:p>
    <w:p w:rsidR="00206CDB" w:rsidRDefault="00206CDB" w:rsidP="00206CDB">
      <w:pPr>
        <w:numPr>
          <w:ilvl w:val="0"/>
          <w:numId w:val="3"/>
        </w:numPr>
        <w:spacing w:after="200" w:line="276" w:lineRule="auto"/>
      </w:pPr>
      <w:r>
        <w:t xml:space="preserve">It is </w:t>
      </w:r>
      <w:r w:rsidRPr="003B020E">
        <w:rPr>
          <w:b/>
        </w:rPr>
        <w:t>I</w:t>
      </w:r>
      <w:r>
        <w:t xml:space="preserve"> who am responsible for the failure in communication, not my staff.</w:t>
      </w:r>
    </w:p>
    <w:p w:rsidR="00206CDB" w:rsidRDefault="00206CDB" w:rsidP="00206CDB">
      <w:pPr>
        <w:numPr>
          <w:ilvl w:val="0"/>
          <w:numId w:val="3"/>
        </w:numPr>
        <w:spacing w:after="200" w:line="276" w:lineRule="auto"/>
      </w:pPr>
      <w:r>
        <w:t xml:space="preserve">The winner of the race was </w:t>
      </w:r>
      <w:r w:rsidRPr="003B020E">
        <w:rPr>
          <w:b/>
        </w:rPr>
        <w:t>he</w:t>
      </w:r>
      <w:r>
        <w:t xml:space="preserve">.  </w:t>
      </w:r>
    </w:p>
    <w:p w:rsidR="00206CDB" w:rsidRDefault="00206CDB" w:rsidP="00206CDB">
      <w:pPr>
        <w:numPr>
          <w:ilvl w:val="0"/>
          <w:numId w:val="3"/>
        </w:numPr>
        <w:spacing w:after="200" w:line="276" w:lineRule="auto"/>
      </w:pPr>
      <w:r>
        <w:t xml:space="preserve">What was </w:t>
      </w:r>
      <w:r w:rsidRPr="003B020E">
        <w:rPr>
          <w:b/>
        </w:rPr>
        <w:t>he</w:t>
      </w:r>
      <w:r>
        <w:t xml:space="preserve"> thinking, jumping off the table like that?  </w:t>
      </w:r>
    </w:p>
    <w:p w:rsidR="00206CDB" w:rsidRDefault="00206CDB" w:rsidP="00206CDB">
      <w:pPr>
        <w:numPr>
          <w:ilvl w:val="0"/>
          <w:numId w:val="3"/>
        </w:numPr>
        <w:spacing w:after="200" w:line="276" w:lineRule="auto"/>
      </w:pPr>
      <w:r>
        <w:t xml:space="preserve">Where was </w:t>
      </w:r>
      <w:r w:rsidRPr="003B020E">
        <w:rPr>
          <w:b/>
        </w:rPr>
        <w:t>she</w:t>
      </w:r>
      <w:r>
        <w:t xml:space="preserve"> when the crime was committed?  </w:t>
      </w:r>
    </w:p>
    <w:p w:rsidR="00206CDB" w:rsidRDefault="00206CDB" w:rsidP="00206CDB">
      <w:pPr>
        <w:spacing w:after="200" w:line="276" w:lineRule="auto"/>
      </w:pPr>
    </w:p>
    <w:p w:rsidR="00206CDB" w:rsidRDefault="00206CDB" w:rsidP="00206CDB">
      <w:pPr>
        <w:pStyle w:val="Heading2"/>
      </w:pPr>
      <w:bookmarkStart w:id="8" w:name="_Toc331673042"/>
      <w:r>
        <w:t>Objective Pronouns</w:t>
      </w:r>
      <w:bookmarkEnd w:id="8"/>
    </w:p>
    <w:p w:rsidR="00206CDB" w:rsidRDefault="00206CDB" w:rsidP="00206CDB"/>
    <w:p w:rsidR="00206CDB" w:rsidRDefault="00206CDB" w:rsidP="00206CDB">
      <w:r w:rsidRPr="004C5BE5">
        <w:rPr>
          <w:b/>
        </w:rPr>
        <w:t>Objective Pronouns</w:t>
      </w:r>
      <w:r>
        <w:t xml:space="preserve"> are used for all other purposes; they are often the “object” of the verb and are not the primary actor in the clause.  </w:t>
      </w:r>
    </w:p>
    <w:p w:rsidR="00206CDB" w:rsidRDefault="00206CDB" w:rsidP="00206CDB"/>
    <w:p w:rsidR="00206CDB" w:rsidRDefault="00206CDB" w:rsidP="00206CDB"/>
    <w:tbl>
      <w:tblPr>
        <w:tblW w:w="0" w:type="auto"/>
        <w:jc w:val="center"/>
        <w:tblLook w:val="04A0" w:firstRow="1" w:lastRow="0" w:firstColumn="1" w:lastColumn="0" w:noHBand="0" w:noVBand="1"/>
      </w:tblPr>
      <w:tblGrid>
        <w:gridCol w:w="1800"/>
        <w:gridCol w:w="2430"/>
        <w:gridCol w:w="1620"/>
      </w:tblGrid>
      <w:tr w:rsidR="00206CDB" w:rsidTr="00895839">
        <w:trPr>
          <w:jc w:val="center"/>
        </w:trPr>
        <w:tc>
          <w:tcPr>
            <w:tcW w:w="1800" w:type="dxa"/>
            <w:shd w:val="clear" w:color="auto" w:fill="auto"/>
          </w:tcPr>
          <w:p w:rsidR="00206CDB" w:rsidRDefault="00206CDB" w:rsidP="00895839"/>
        </w:tc>
        <w:tc>
          <w:tcPr>
            <w:tcW w:w="2430" w:type="dxa"/>
            <w:shd w:val="clear" w:color="auto" w:fill="auto"/>
          </w:tcPr>
          <w:p w:rsidR="00206CDB" w:rsidRPr="006D0203" w:rsidRDefault="00206CDB" w:rsidP="00895839">
            <w:pPr>
              <w:rPr>
                <w:b/>
              </w:rPr>
            </w:pPr>
            <w:r w:rsidRPr="006D0203">
              <w:rPr>
                <w:b/>
              </w:rPr>
              <w:t>Singular</w:t>
            </w:r>
          </w:p>
        </w:tc>
        <w:tc>
          <w:tcPr>
            <w:tcW w:w="1620" w:type="dxa"/>
            <w:shd w:val="clear" w:color="auto" w:fill="auto"/>
          </w:tcPr>
          <w:p w:rsidR="00206CDB" w:rsidRPr="006D0203" w:rsidRDefault="00206CDB" w:rsidP="00895839">
            <w:pPr>
              <w:rPr>
                <w:b/>
              </w:rPr>
            </w:pPr>
            <w:r w:rsidRPr="006D0203">
              <w:rPr>
                <w:b/>
              </w:rPr>
              <w:t>Plural</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1</w:t>
            </w:r>
            <w:r w:rsidRPr="006D0203">
              <w:rPr>
                <w:b/>
                <w:vertAlign w:val="superscript"/>
              </w:rPr>
              <w:t>st</w:t>
            </w:r>
            <w:r w:rsidRPr="006D0203">
              <w:rPr>
                <w:b/>
              </w:rPr>
              <w:t xml:space="preserve"> person</w:t>
            </w:r>
          </w:p>
        </w:tc>
        <w:tc>
          <w:tcPr>
            <w:tcW w:w="2430" w:type="dxa"/>
            <w:shd w:val="clear" w:color="auto" w:fill="auto"/>
          </w:tcPr>
          <w:p w:rsidR="00206CDB" w:rsidRDefault="00206CDB" w:rsidP="00895839">
            <w:r>
              <w:t>Me</w:t>
            </w:r>
          </w:p>
        </w:tc>
        <w:tc>
          <w:tcPr>
            <w:tcW w:w="1620" w:type="dxa"/>
            <w:shd w:val="clear" w:color="auto" w:fill="auto"/>
          </w:tcPr>
          <w:p w:rsidR="00206CDB" w:rsidRDefault="00206CDB" w:rsidP="00895839">
            <w:r>
              <w:t>Us</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2</w:t>
            </w:r>
            <w:r w:rsidRPr="006D0203">
              <w:rPr>
                <w:b/>
                <w:vertAlign w:val="superscript"/>
              </w:rPr>
              <w:t>nd</w:t>
            </w:r>
            <w:r w:rsidRPr="006D0203">
              <w:rPr>
                <w:b/>
              </w:rPr>
              <w:t xml:space="preserve"> person</w:t>
            </w:r>
          </w:p>
        </w:tc>
        <w:tc>
          <w:tcPr>
            <w:tcW w:w="2430" w:type="dxa"/>
            <w:shd w:val="clear" w:color="auto" w:fill="auto"/>
          </w:tcPr>
          <w:p w:rsidR="00206CDB" w:rsidRDefault="00206CDB" w:rsidP="00895839">
            <w:r>
              <w:t>You</w:t>
            </w:r>
          </w:p>
        </w:tc>
        <w:tc>
          <w:tcPr>
            <w:tcW w:w="1620" w:type="dxa"/>
            <w:shd w:val="clear" w:color="auto" w:fill="auto"/>
          </w:tcPr>
          <w:p w:rsidR="00206CDB" w:rsidRDefault="00206CDB" w:rsidP="00895839">
            <w:r>
              <w:t>You</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3</w:t>
            </w:r>
            <w:r w:rsidRPr="006D0203">
              <w:rPr>
                <w:b/>
                <w:vertAlign w:val="superscript"/>
              </w:rPr>
              <w:t>rd</w:t>
            </w:r>
            <w:r w:rsidRPr="006D0203">
              <w:rPr>
                <w:b/>
              </w:rPr>
              <w:t xml:space="preserve"> person</w:t>
            </w:r>
          </w:p>
        </w:tc>
        <w:tc>
          <w:tcPr>
            <w:tcW w:w="2430" w:type="dxa"/>
            <w:shd w:val="clear" w:color="auto" w:fill="auto"/>
          </w:tcPr>
          <w:p w:rsidR="00206CDB" w:rsidRDefault="00206CDB" w:rsidP="00895839">
            <w:r>
              <w:t>Him, her, it</w:t>
            </w:r>
          </w:p>
        </w:tc>
        <w:tc>
          <w:tcPr>
            <w:tcW w:w="1620" w:type="dxa"/>
            <w:shd w:val="clear" w:color="auto" w:fill="auto"/>
          </w:tcPr>
          <w:p w:rsidR="00206CDB" w:rsidRDefault="00206CDB" w:rsidP="00895839">
            <w:r>
              <w:t>them</w:t>
            </w:r>
          </w:p>
        </w:tc>
      </w:tr>
    </w:tbl>
    <w:p w:rsidR="00206CDB" w:rsidRDefault="00206CDB" w:rsidP="00206CDB"/>
    <w:p w:rsidR="00206CDB" w:rsidRDefault="00206CDB" w:rsidP="00206CDB"/>
    <w:p w:rsidR="00206CDB" w:rsidRDefault="00206CDB" w:rsidP="00206CDB">
      <w:r>
        <w:t>Here are some examples of Objective Pronouns at work:</w:t>
      </w:r>
    </w:p>
    <w:p w:rsidR="00206CDB" w:rsidRDefault="00206CDB" w:rsidP="00206CDB"/>
    <w:p w:rsidR="00206CDB" w:rsidRDefault="00206CDB" w:rsidP="00206CDB">
      <w:pPr>
        <w:numPr>
          <w:ilvl w:val="0"/>
          <w:numId w:val="4"/>
        </w:numPr>
      </w:pPr>
      <w:r>
        <w:t xml:space="preserve">The store didn’t tell </w:t>
      </w:r>
      <w:r w:rsidRPr="004C5BE5">
        <w:rPr>
          <w:b/>
        </w:rPr>
        <w:t>us</w:t>
      </w:r>
      <w:r>
        <w:t xml:space="preserve"> that the furniture had arrived.  </w:t>
      </w:r>
      <w:r>
        <w:br/>
      </w:r>
    </w:p>
    <w:p w:rsidR="00206CDB" w:rsidRDefault="00206CDB" w:rsidP="00206CDB">
      <w:pPr>
        <w:numPr>
          <w:ilvl w:val="0"/>
          <w:numId w:val="4"/>
        </w:numPr>
      </w:pPr>
      <w:r>
        <w:t xml:space="preserve">Ella didn’t want to go out on a second date, but she let </w:t>
      </w:r>
      <w:r w:rsidRPr="004C5BE5">
        <w:rPr>
          <w:b/>
        </w:rPr>
        <w:t>me</w:t>
      </w:r>
      <w:r>
        <w:t xml:space="preserve"> down easy.  </w:t>
      </w:r>
      <w:r>
        <w:br/>
      </w:r>
    </w:p>
    <w:p w:rsidR="00206CDB" w:rsidRDefault="00206CDB" w:rsidP="00206CDB">
      <w:pPr>
        <w:numPr>
          <w:ilvl w:val="0"/>
          <w:numId w:val="4"/>
        </w:numPr>
      </w:pPr>
      <w:r>
        <w:t xml:space="preserve">My dad went to the store with Sam and </w:t>
      </w:r>
      <w:r w:rsidRPr="004C5BE5">
        <w:rPr>
          <w:b/>
        </w:rPr>
        <w:t>me</w:t>
      </w:r>
      <w:r>
        <w:t xml:space="preserve">. </w:t>
      </w:r>
      <w:r>
        <w:br/>
      </w:r>
      <w:r>
        <w:br/>
        <w:t xml:space="preserve">(In this sentence, </w:t>
      </w:r>
      <w:r w:rsidRPr="006D0203">
        <w:rPr>
          <w:b/>
        </w:rPr>
        <w:t>me</w:t>
      </w:r>
      <w:r>
        <w:t xml:space="preserve"> is not the subject /actor and does not rename the subject. To know whether you are correct, separate the sentence by saying:  </w:t>
      </w:r>
      <w:r>
        <w:br/>
      </w:r>
    </w:p>
    <w:p w:rsidR="00206CDB" w:rsidRDefault="00206CDB" w:rsidP="00206CDB">
      <w:pPr>
        <w:numPr>
          <w:ilvl w:val="1"/>
          <w:numId w:val="4"/>
        </w:numPr>
      </w:pPr>
      <w:r>
        <w:t>My dad went to the store with Sam. (Correct)</w:t>
      </w:r>
    </w:p>
    <w:p w:rsidR="00206CDB" w:rsidRDefault="00206CDB" w:rsidP="00206CDB">
      <w:pPr>
        <w:numPr>
          <w:ilvl w:val="1"/>
          <w:numId w:val="4"/>
        </w:numPr>
      </w:pPr>
      <w:r>
        <w:t>My dad went to the store with me. (Correct)</w:t>
      </w:r>
    </w:p>
    <w:p w:rsidR="00206CDB" w:rsidRDefault="00206CDB" w:rsidP="00206CDB">
      <w:pPr>
        <w:numPr>
          <w:ilvl w:val="1"/>
          <w:numId w:val="4"/>
        </w:numPr>
      </w:pPr>
      <w:r>
        <w:t>My dad went to the store with I. (Incorrect)</w:t>
      </w:r>
      <w:r>
        <w:br/>
      </w:r>
    </w:p>
    <w:p w:rsidR="00206CDB" w:rsidRDefault="00206CDB" w:rsidP="00206CDB">
      <w:pPr>
        <w:rPr>
          <w:b/>
        </w:rPr>
      </w:pPr>
    </w:p>
    <w:p w:rsidR="00206CDB" w:rsidRDefault="00206CDB">
      <w:pPr>
        <w:spacing w:after="160" w:line="259" w:lineRule="auto"/>
        <w:rPr>
          <w:bCs/>
          <w:sz w:val="28"/>
          <w:szCs w:val="26"/>
        </w:rPr>
      </w:pPr>
      <w:bookmarkStart w:id="9" w:name="_Toc331673043"/>
      <w:r>
        <w:br w:type="page"/>
      </w:r>
    </w:p>
    <w:p w:rsidR="00206CDB" w:rsidRPr="00491E90" w:rsidRDefault="00206CDB" w:rsidP="00206CDB">
      <w:pPr>
        <w:pStyle w:val="Heading2"/>
      </w:pPr>
      <w:r>
        <w:lastRenderedPageBreak/>
        <w:br/>
      </w:r>
      <w:r w:rsidRPr="00491E90">
        <w:t>Possessive Pronouns</w:t>
      </w:r>
      <w:bookmarkEnd w:id="9"/>
    </w:p>
    <w:p w:rsidR="00206CDB" w:rsidRDefault="00206CDB" w:rsidP="00206CDB"/>
    <w:p w:rsidR="00206CDB" w:rsidRDefault="00206CDB" w:rsidP="00206CDB">
      <w:r>
        <w:t xml:space="preserve">Possessive Pronouns show ownership over something.  </w:t>
      </w:r>
    </w:p>
    <w:p w:rsidR="00206CDB" w:rsidRDefault="00206CDB" w:rsidP="00206CDB"/>
    <w:tbl>
      <w:tblPr>
        <w:tblW w:w="0" w:type="auto"/>
        <w:jc w:val="center"/>
        <w:tblLook w:val="04A0" w:firstRow="1" w:lastRow="0" w:firstColumn="1" w:lastColumn="0" w:noHBand="0" w:noVBand="1"/>
      </w:tblPr>
      <w:tblGrid>
        <w:gridCol w:w="1800"/>
        <w:gridCol w:w="2430"/>
        <w:gridCol w:w="2025"/>
      </w:tblGrid>
      <w:tr w:rsidR="00206CDB" w:rsidTr="00895839">
        <w:trPr>
          <w:jc w:val="center"/>
        </w:trPr>
        <w:tc>
          <w:tcPr>
            <w:tcW w:w="1800" w:type="dxa"/>
            <w:shd w:val="clear" w:color="auto" w:fill="auto"/>
          </w:tcPr>
          <w:p w:rsidR="00206CDB" w:rsidRDefault="00206CDB" w:rsidP="00895839"/>
        </w:tc>
        <w:tc>
          <w:tcPr>
            <w:tcW w:w="2430" w:type="dxa"/>
            <w:shd w:val="clear" w:color="auto" w:fill="auto"/>
          </w:tcPr>
          <w:p w:rsidR="00206CDB" w:rsidRPr="006D0203" w:rsidRDefault="00206CDB" w:rsidP="00895839">
            <w:pPr>
              <w:rPr>
                <w:b/>
              </w:rPr>
            </w:pPr>
            <w:r w:rsidRPr="006D0203">
              <w:rPr>
                <w:b/>
              </w:rPr>
              <w:t>Singular</w:t>
            </w:r>
          </w:p>
        </w:tc>
        <w:tc>
          <w:tcPr>
            <w:tcW w:w="2025" w:type="dxa"/>
            <w:shd w:val="clear" w:color="auto" w:fill="auto"/>
          </w:tcPr>
          <w:p w:rsidR="00206CDB" w:rsidRPr="006D0203" w:rsidRDefault="00206CDB" w:rsidP="00895839">
            <w:pPr>
              <w:rPr>
                <w:b/>
              </w:rPr>
            </w:pPr>
            <w:r w:rsidRPr="006D0203">
              <w:rPr>
                <w:b/>
              </w:rPr>
              <w:t>Plural</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1</w:t>
            </w:r>
            <w:r w:rsidRPr="006D0203">
              <w:rPr>
                <w:b/>
                <w:vertAlign w:val="superscript"/>
              </w:rPr>
              <w:t>st</w:t>
            </w:r>
            <w:r w:rsidRPr="006D0203">
              <w:rPr>
                <w:b/>
              </w:rPr>
              <w:t xml:space="preserve"> person</w:t>
            </w:r>
          </w:p>
        </w:tc>
        <w:tc>
          <w:tcPr>
            <w:tcW w:w="2430" w:type="dxa"/>
            <w:shd w:val="clear" w:color="auto" w:fill="auto"/>
          </w:tcPr>
          <w:p w:rsidR="00206CDB" w:rsidRDefault="00206CDB" w:rsidP="00895839">
            <w:r>
              <w:t>My (Mine)</w:t>
            </w:r>
          </w:p>
        </w:tc>
        <w:tc>
          <w:tcPr>
            <w:tcW w:w="2025" w:type="dxa"/>
            <w:shd w:val="clear" w:color="auto" w:fill="auto"/>
          </w:tcPr>
          <w:p w:rsidR="00206CDB" w:rsidRDefault="00206CDB" w:rsidP="00895839">
            <w:r>
              <w:t>Our (Ours)</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2</w:t>
            </w:r>
            <w:r w:rsidRPr="006D0203">
              <w:rPr>
                <w:b/>
                <w:vertAlign w:val="superscript"/>
              </w:rPr>
              <w:t>nd</w:t>
            </w:r>
            <w:r w:rsidRPr="006D0203">
              <w:rPr>
                <w:b/>
              </w:rPr>
              <w:t xml:space="preserve"> person</w:t>
            </w:r>
          </w:p>
        </w:tc>
        <w:tc>
          <w:tcPr>
            <w:tcW w:w="2430" w:type="dxa"/>
            <w:shd w:val="clear" w:color="auto" w:fill="auto"/>
          </w:tcPr>
          <w:p w:rsidR="00206CDB" w:rsidRDefault="00206CDB" w:rsidP="00895839">
            <w:r>
              <w:t>Your (Yours)</w:t>
            </w:r>
          </w:p>
        </w:tc>
        <w:tc>
          <w:tcPr>
            <w:tcW w:w="2025" w:type="dxa"/>
            <w:shd w:val="clear" w:color="auto" w:fill="auto"/>
          </w:tcPr>
          <w:p w:rsidR="00206CDB" w:rsidRDefault="00206CDB" w:rsidP="00895839">
            <w:r>
              <w:t>Your (Yours)</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3</w:t>
            </w:r>
            <w:r w:rsidRPr="006D0203">
              <w:rPr>
                <w:b/>
                <w:vertAlign w:val="superscript"/>
              </w:rPr>
              <w:t>rd</w:t>
            </w:r>
            <w:r w:rsidRPr="006D0203">
              <w:rPr>
                <w:b/>
              </w:rPr>
              <w:t xml:space="preserve"> person</w:t>
            </w:r>
          </w:p>
        </w:tc>
        <w:tc>
          <w:tcPr>
            <w:tcW w:w="2430" w:type="dxa"/>
            <w:shd w:val="clear" w:color="auto" w:fill="auto"/>
          </w:tcPr>
          <w:p w:rsidR="00206CDB" w:rsidRDefault="00206CDB" w:rsidP="00895839">
            <w:r>
              <w:t>His, Her, Hers, Its</w:t>
            </w:r>
          </w:p>
        </w:tc>
        <w:tc>
          <w:tcPr>
            <w:tcW w:w="2025" w:type="dxa"/>
            <w:shd w:val="clear" w:color="auto" w:fill="auto"/>
          </w:tcPr>
          <w:p w:rsidR="00206CDB" w:rsidRDefault="00206CDB" w:rsidP="00895839">
            <w:r>
              <w:t xml:space="preserve">Their (Theirs) </w:t>
            </w:r>
          </w:p>
        </w:tc>
      </w:tr>
    </w:tbl>
    <w:p w:rsidR="00206CDB" w:rsidRDefault="00206CDB" w:rsidP="00206CDB"/>
    <w:p w:rsidR="00206CDB" w:rsidRDefault="00206CDB" w:rsidP="00206CDB">
      <w:r>
        <w:t xml:space="preserve">Here are some examples of Possessive Pronouns at work. </w:t>
      </w:r>
    </w:p>
    <w:p w:rsidR="00206CDB" w:rsidRDefault="00206CDB" w:rsidP="00206CDB"/>
    <w:p w:rsidR="00206CDB" w:rsidRDefault="00206CDB" w:rsidP="00206CDB">
      <w:pPr>
        <w:numPr>
          <w:ilvl w:val="0"/>
          <w:numId w:val="5"/>
        </w:numPr>
      </w:pPr>
      <w:r>
        <w:t xml:space="preserve">That book is </w:t>
      </w:r>
      <w:r w:rsidRPr="004C5BE5">
        <w:rPr>
          <w:b/>
        </w:rPr>
        <w:t>mine</w:t>
      </w:r>
      <w:r>
        <w:t>.</w:t>
      </w:r>
      <w:r>
        <w:br/>
      </w:r>
    </w:p>
    <w:p w:rsidR="00206CDB" w:rsidRDefault="00206CDB" w:rsidP="00206CDB">
      <w:pPr>
        <w:numPr>
          <w:ilvl w:val="0"/>
          <w:numId w:val="5"/>
        </w:numPr>
      </w:pPr>
      <w:r w:rsidRPr="004C5BE5">
        <w:rPr>
          <w:b/>
        </w:rPr>
        <w:t>My</w:t>
      </w:r>
      <w:r>
        <w:t xml:space="preserve"> car is a 1994 Ford Taurus. </w:t>
      </w:r>
      <w:r>
        <w:br/>
      </w:r>
    </w:p>
    <w:p w:rsidR="00206CDB" w:rsidRDefault="00206CDB" w:rsidP="00206CDB">
      <w:pPr>
        <w:numPr>
          <w:ilvl w:val="0"/>
          <w:numId w:val="5"/>
        </w:numPr>
      </w:pPr>
      <w:r>
        <w:t xml:space="preserve">Have you received </w:t>
      </w:r>
      <w:r w:rsidRPr="004C5BE5">
        <w:rPr>
          <w:b/>
        </w:rPr>
        <w:t>your</w:t>
      </w:r>
      <w:r>
        <w:t xml:space="preserve"> access code yet? </w:t>
      </w:r>
      <w:r>
        <w:br/>
      </w:r>
    </w:p>
    <w:p w:rsidR="00206CDB" w:rsidRDefault="00206CDB" w:rsidP="00206CDB">
      <w:pPr>
        <w:numPr>
          <w:ilvl w:val="0"/>
          <w:numId w:val="5"/>
        </w:numPr>
      </w:pPr>
      <w:r>
        <w:t xml:space="preserve">To put it nicely, </w:t>
      </w:r>
      <w:r w:rsidRPr="004C5BE5">
        <w:rPr>
          <w:b/>
        </w:rPr>
        <w:t>their</w:t>
      </w:r>
      <w:r>
        <w:t xml:space="preserve"> collective pants are on fire; one cannot believe a thing they say.  </w:t>
      </w:r>
      <w:r>
        <w:br/>
      </w:r>
    </w:p>
    <w:p w:rsidR="00206CDB" w:rsidRDefault="00206CDB" w:rsidP="00206CDB">
      <w:pPr>
        <w:numPr>
          <w:ilvl w:val="0"/>
          <w:numId w:val="5"/>
        </w:numPr>
      </w:pPr>
      <w:r>
        <w:t xml:space="preserve">Amber stubbed </w:t>
      </w:r>
      <w:r w:rsidRPr="004C5BE5">
        <w:rPr>
          <w:b/>
        </w:rPr>
        <w:t>her</w:t>
      </w:r>
      <w:r>
        <w:t xml:space="preserve"> toe on the bottom of </w:t>
      </w:r>
      <w:r w:rsidRPr="004C5BE5">
        <w:rPr>
          <w:b/>
        </w:rPr>
        <w:t>her</w:t>
      </w:r>
      <w:r>
        <w:t xml:space="preserve"> dresser this morning.  </w:t>
      </w:r>
      <w:r>
        <w:br/>
      </w:r>
    </w:p>
    <w:p w:rsidR="00206CDB" w:rsidRDefault="00206CDB" w:rsidP="00206CDB">
      <w:pPr>
        <w:numPr>
          <w:ilvl w:val="0"/>
          <w:numId w:val="5"/>
        </w:numPr>
      </w:pPr>
      <w:r w:rsidRPr="004C5BE5">
        <w:rPr>
          <w:b/>
        </w:rPr>
        <w:t>Our</w:t>
      </w:r>
      <w:r>
        <w:t xml:space="preserve"> dog had to have surgery on </w:t>
      </w:r>
      <w:r w:rsidRPr="004C5BE5">
        <w:rPr>
          <w:b/>
        </w:rPr>
        <w:t>her</w:t>
      </w:r>
      <w:r>
        <w:t xml:space="preserve"> paw; </w:t>
      </w:r>
      <w:r w:rsidRPr="004C5BE5">
        <w:rPr>
          <w:b/>
        </w:rPr>
        <w:t>her</w:t>
      </w:r>
      <w:r>
        <w:t xml:space="preserve"> mood was not very good that whole week.</w:t>
      </w:r>
      <w:r>
        <w:br/>
        <w:t xml:space="preserve"> </w:t>
      </w:r>
    </w:p>
    <w:p w:rsidR="00206CDB" w:rsidRDefault="00206CDB" w:rsidP="00206CDB">
      <w:pPr>
        <w:numPr>
          <w:ilvl w:val="0"/>
          <w:numId w:val="5"/>
        </w:numPr>
      </w:pPr>
      <w:r>
        <w:t xml:space="preserve">My sister’s and </w:t>
      </w:r>
      <w:r w:rsidRPr="00162D37">
        <w:rPr>
          <w:b/>
        </w:rPr>
        <w:t>my</w:t>
      </w:r>
      <w:r>
        <w:t xml:space="preserve"> model train set had some electrical problems, so we had to replace it.   </w:t>
      </w:r>
    </w:p>
    <w:p w:rsidR="00206CDB" w:rsidRDefault="00206CDB" w:rsidP="00206CDB">
      <w:r>
        <w:tab/>
      </w:r>
      <w:r>
        <w:tab/>
      </w:r>
      <w:r>
        <w:tab/>
      </w:r>
      <w:r>
        <w:tab/>
      </w:r>
      <w:r>
        <w:tab/>
      </w:r>
      <w:r>
        <w:tab/>
      </w:r>
    </w:p>
    <w:p w:rsidR="00206CDB" w:rsidRDefault="00206CDB" w:rsidP="00206CDB"/>
    <w:p w:rsidR="00206CDB" w:rsidRDefault="00206CDB" w:rsidP="00206CDB">
      <w:pPr>
        <w:pStyle w:val="Heading2"/>
      </w:pPr>
      <w:bookmarkStart w:id="10" w:name="_Toc331673044"/>
      <w:r w:rsidRPr="001336E6">
        <w:t>Reflexive Pronouns</w:t>
      </w:r>
      <w:bookmarkEnd w:id="10"/>
    </w:p>
    <w:p w:rsidR="00206CDB" w:rsidRDefault="00206CDB" w:rsidP="00206CDB"/>
    <w:p w:rsidR="00206CDB" w:rsidRDefault="00206CDB" w:rsidP="00206CDB">
      <w:r w:rsidRPr="001336E6">
        <w:t>These pronouns are formed by adding –</w:t>
      </w:r>
      <w:r w:rsidRPr="001336E6">
        <w:rPr>
          <w:i/>
        </w:rPr>
        <w:t>self</w:t>
      </w:r>
      <w:r w:rsidRPr="001336E6">
        <w:t xml:space="preserve"> (singular) or –</w:t>
      </w:r>
      <w:r w:rsidRPr="001336E6">
        <w:rPr>
          <w:i/>
        </w:rPr>
        <w:t>selves</w:t>
      </w:r>
      <w:r w:rsidRPr="001336E6">
        <w:t xml:space="preserve"> (plural) to a form of the personal pronoun.</w:t>
      </w:r>
    </w:p>
    <w:p w:rsidR="00206CDB" w:rsidRPr="001336E6" w:rsidRDefault="00206CDB" w:rsidP="00206CDB"/>
    <w:tbl>
      <w:tblPr>
        <w:tblW w:w="0" w:type="auto"/>
        <w:jc w:val="center"/>
        <w:tblLook w:val="04A0" w:firstRow="1" w:lastRow="0" w:firstColumn="1" w:lastColumn="0" w:noHBand="0" w:noVBand="1"/>
      </w:tblPr>
      <w:tblGrid>
        <w:gridCol w:w="1800"/>
        <w:gridCol w:w="2430"/>
        <w:gridCol w:w="2025"/>
      </w:tblGrid>
      <w:tr w:rsidR="00206CDB" w:rsidTr="00895839">
        <w:trPr>
          <w:jc w:val="center"/>
        </w:trPr>
        <w:tc>
          <w:tcPr>
            <w:tcW w:w="1800" w:type="dxa"/>
            <w:shd w:val="clear" w:color="auto" w:fill="auto"/>
          </w:tcPr>
          <w:p w:rsidR="00206CDB" w:rsidRDefault="00206CDB" w:rsidP="00895839"/>
        </w:tc>
        <w:tc>
          <w:tcPr>
            <w:tcW w:w="2430" w:type="dxa"/>
            <w:shd w:val="clear" w:color="auto" w:fill="auto"/>
          </w:tcPr>
          <w:p w:rsidR="00206CDB" w:rsidRPr="006D0203" w:rsidRDefault="00206CDB" w:rsidP="00895839">
            <w:pPr>
              <w:rPr>
                <w:b/>
              </w:rPr>
            </w:pPr>
            <w:r w:rsidRPr="006D0203">
              <w:rPr>
                <w:b/>
              </w:rPr>
              <w:t>Singular</w:t>
            </w:r>
          </w:p>
        </w:tc>
        <w:tc>
          <w:tcPr>
            <w:tcW w:w="2025" w:type="dxa"/>
            <w:shd w:val="clear" w:color="auto" w:fill="auto"/>
          </w:tcPr>
          <w:p w:rsidR="00206CDB" w:rsidRPr="006D0203" w:rsidRDefault="00206CDB" w:rsidP="00895839">
            <w:pPr>
              <w:rPr>
                <w:b/>
              </w:rPr>
            </w:pPr>
            <w:r w:rsidRPr="006D0203">
              <w:rPr>
                <w:b/>
              </w:rPr>
              <w:t>Plural</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1</w:t>
            </w:r>
            <w:r w:rsidRPr="006D0203">
              <w:rPr>
                <w:b/>
                <w:vertAlign w:val="superscript"/>
              </w:rPr>
              <w:t>st</w:t>
            </w:r>
            <w:r w:rsidRPr="006D0203">
              <w:rPr>
                <w:b/>
              </w:rPr>
              <w:t xml:space="preserve"> person</w:t>
            </w:r>
          </w:p>
        </w:tc>
        <w:tc>
          <w:tcPr>
            <w:tcW w:w="2430" w:type="dxa"/>
            <w:shd w:val="clear" w:color="auto" w:fill="auto"/>
          </w:tcPr>
          <w:p w:rsidR="00206CDB" w:rsidRDefault="00206CDB" w:rsidP="00895839">
            <w:r>
              <w:t>Myself</w:t>
            </w:r>
          </w:p>
        </w:tc>
        <w:tc>
          <w:tcPr>
            <w:tcW w:w="2025" w:type="dxa"/>
            <w:shd w:val="clear" w:color="auto" w:fill="auto"/>
          </w:tcPr>
          <w:p w:rsidR="00206CDB" w:rsidRDefault="00206CDB" w:rsidP="00895839">
            <w:r>
              <w:t>Ourselves</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2</w:t>
            </w:r>
            <w:r w:rsidRPr="006D0203">
              <w:rPr>
                <w:b/>
                <w:vertAlign w:val="superscript"/>
              </w:rPr>
              <w:t>nd</w:t>
            </w:r>
            <w:r w:rsidRPr="006D0203">
              <w:rPr>
                <w:b/>
              </w:rPr>
              <w:t xml:space="preserve"> person</w:t>
            </w:r>
          </w:p>
        </w:tc>
        <w:tc>
          <w:tcPr>
            <w:tcW w:w="2430" w:type="dxa"/>
            <w:shd w:val="clear" w:color="auto" w:fill="auto"/>
          </w:tcPr>
          <w:p w:rsidR="00206CDB" w:rsidRDefault="00206CDB" w:rsidP="00895839">
            <w:r>
              <w:t>Yourself</w:t>
            </w:r>
          </w:p>
        </w:tc>
        <w:tc>
          <w:tcPr>
            <w:tcW w:w="2025" w:type="dxa"/>
            <w:shd w:val="clear" w:color="auto" w:fill="auto"/>
          </w:tcPr>
          <w:p w:rsidR="00206CDB" w:rsidRDefault="00206CDB" w:rsidP="00895839">
            <w:r>
              <w:t>Yourselves</w:t>
            </w:r>
          </w:p>
        </w:tc>
      </w:tr>
      <w:tr w:rsidR="00206CDB" w:rsidTr="00895839">
        <w:trPr>
          <w:jc w:val="center"/>
        </w:trPr>
        <w:tc>
          <w:tcPr>
            <w:tcW w:w="1800" w:type="dxa"/>
            <w:shd w:val="clear" w:color="auto" w:fill="auto"/>
          </w:tcPr>
          <w:p w:rsidR="00206CDB" w:rsidRPr="006D0203" w:rsidRDefault="00206CDB" w:rsidP="00895839">
            <w:pPr>
              <w:rPr>
                <w:b/>
              </w:rPr>
            </w:pPr>
            <w:r w:rsidRPr="006D0203">
              <w:rPr>
                <w:b/>
              </w:rPr>
              <w:t>3</w:t>
            </w:r>
            <w:r w:rsidRPr="006D0203">
              <w:rPr>
                <w:b/>
                <w:vertAlign w:val="superscript"/>
              </w:rPr>
              <w:t>rd</w:t>
            </w:r>
            <w:r w:rsidRPr="006D0203">
              <w:rPr>
                <w:b/>
              </w:rPr>
              <w:t xml:space="preserve"> person</w:t>
            </w:r>
          </w:p>
        </w:tc>
        <w:tc>
          <w:tcPr>
            <w:tcW w:w="2430" w:type="dxa"/>
            <w:shd w:val="clear" w:color="auto" w:fill="auto"/>
          </w:tcPr>
          <w:p w:rsidR="00206CDB" w:rsidRDefault="00206CDB" w:rsidP="00895839">
            <w:r>
              <w:t>Itself, himself, herself</w:t>
            </w:r>
          </w:p>
        </w:tc>
        <w:tc>
          <w:tcPr>
            <w:tcW w:w="2025" w:type="dxa"/>
            <w:shd w:val="clear" w:color="auto" w:fill="auto"/>
          </w:tcPr>
          <w:p w:rsidR="00206CDB" w:rsidRDefault="00206CDB" w:rsidP="00895839">
            <w:r>
              <w:t>Themselves</w:t>
            </w:r>
          </w:p>
        </w:tc>
      </w:tr>
    </w:tbl>
    <w:p w:rsidR="00206CDB" w:rsidRPr="001336E6" w:rsidRDefault="00206CDB" w:rsidP="00206CDB">
      <w:pPr>
        <w:rPr>
          <w:vertAlign w:val="superscript"/>
        </w:rPr>
      </w:pPr>
      <w:r w:rsidRPr="001336E6">
        <w:tab/>
      </w:r>
      <w:r w:rsidRPr="001336E6">
        <w:tab/>
      </w:r>
    </w:p>
    <w:p w:rsidR="00206CDB" w:rsidRPr="001336E6" w:rsidRDefault="00206CDB" w:rsidP="00206CDB">
      <w:r>
        <w:t>This type of p</w:t>
      </w:r>
      <w:r w:rsidRPr="001336E6">
        <w:t xml:space="preserve">ronoun is used as the </w:t>
      </w:r>
      <w:r>
        <w:t xml:space="preserve">thing that is acted upon </w:t>
      </w:r>
      <w:r w:rsidRPr="001336E6">
        <w:t>when its antecedent is the subject</w:t>
      </w:r>
      <w:r>
        <w:t xml:space="preserve"> or actor</w:t>
      </w:r>
      <w:r w:rsidRPr="001336E6">
        <w:t xml:space="preserve"> </w:t>
      </w:r>
      <w:r>
        <w:t>in</w:t>
      </w:r>
      <w:r w:rsidRPr="001336E6">
        <w:t xml:space="preserve"> the sentence.</w:t>
      </w:r>
    </w:p>
    <w:p w:rsidR="00206CDB" w:rsidRDefault="00206CDB" w:rsidP="00206CDB">
      <w:r w:rsidRPr="001336E6">
        <w:tab/>
      </w:r>
    </w:p>
    <w:p w:rsidR="00206CDB" w:rsidRDefault="00206CDB">
      <w:pPr>
        <w:spacing w:after="160" w:line="259" w:lineRule="auto"/>
      </w:pPr>
      <w:r>
        <w:br w:type="page"/>
      </w:r>
    </w:p>
    <w:p w:rsidR="00206CDB" w:rsidRPr="004C5BE5" w:rsidRDefault="00206CDB" w:rsidP="00206CDB">
      <w:r>
        <w:lastRenderedPageBreak/>
        <w:br/>
        <w:t xml:space="preserve">Here are some examples of Reflexive Pronouns in action:  </w:t>
      </w:r>
      <w:r>
        <w:br/>
      </w:r>
      <w:r>
        <w:br/>
      </w:r>
    </w:p>
    <w:p w:rsidR="00206CDB" w:rsidRPr="001336E6" w:rsidRDefault="00206CDB" w:rsidP="00206CDB">
      <w:pPr>
        <w:pStyle w:val="ListParagraph"/>
        <w:numPr>
          <w:ilvl w:val="0"/>
          <w:numId w:val="6"/>
        </w:numPr>
        <w:contextualSpacing/>
      </w:pPr>
      <w:r w:rsidRPr="001336E6">
        <w:t xml:space="preserve">Maureen hurt </w:t>
      </w:r>
      <w:r w:rsidRPr="003B020E">
        <w:rPr>
          <w:b/>
        </w:rPr>
        <w:t>herself</w:t>
      </w:r>
      <w:r>
        <w:rPr>
          <w:b/>
        </w:rPr>
        <w:t xml:space="preserve"> </w:t>
      </w:r>
      <w:r>
        <w:t xml:space="preserve">yesterday morning.    (the thing that was </w:t>
      </w:r>
      <w:r>
        <w:rPr>
          <w:i/>
        </w:rPr>
        <w:t xml:space="preserve">hurt </w:t>
      </w:r>
      <w:r>
        <w:t>was Maureen)</w:t>
      </w:r>
      <w:r>
        <w:br/>
      </w:r>
      <w:r>
        <w:rPr>
          <w:u w:val="single"/>
        </w:rPr>
        <w:br/>
      </w:r>
    </w:p>
    <w:p w:rsidR="00206CDB" w:rsidRPr="001336E6" w:rsidRDefault="00206CDB" w:rsidP="00206CDB">
      <w:pPr>
        <w:pStyle w:val="ListParagraph"/>
        <w:numPr>
          <w:ilvl w:val="0"/>
          <w:numId w:val="6"/>
        </w:numPr>
        <w:contextualSpacing/>
      </w:pPr>
      <w:r w:rsidRPr="001336E6">
        <w:t xml:space="preserve">I saw </w:t>
      </w:r>
      <w:r w:rsidRPr="003B020E">
        <w:rPr>
          <w:b/>
        </w:rPr>
        <w:t>myself</w:t>
      </w:r>
      <w:r w:rsidRPr="001336E6">
        <w:t xml:space="preserve"> in the mirror</w:t>
      </w:r>
      <w:r>
        <w:t xml:space="preserve"> and was pleased with how much weight I had lost.  (the thing that was seen was the “I”)</w:t>
      </w:r>
      <w:r>
        <w:br/>
      </w:r>
    </w:p>
    <w:p w:rsidR="00206CDB" w:rsidRPr="001336E6" w:rsidRDefault="00206CDB" w:rsidP="00206CDB">
      <w:pPr>
        <w:pStyle w:val="ListParagraph"/>
        <w:numPr>
          <w:ilvl w:val="0"/>
          <w:numId w:val="6"/>
        </w:numPr>
        <w:contextualSpacing/>
      </w:pPr>
      <w:r w:rsidRPr="001336E6">
        <w:t xml:space="preserve">I bought a car for </w:t>
      </w:r>
      <w:r>
        <w:t>Adeline</w:t>
      </w:r>
      <w:r w:rsidRPr="001336E6">
        <w:t xml:space="preserve"> and </w:t>
      </w:r>
      <w:r w:rsidRPr="003B020E">
        <w:rPr>
          <w:b/>
        </w:rPr>
        <w:t>myself</w:t>
      </w:r>
      <w:r w:rsidRPr="008B603A">
        <w:t>,</w:t>
      </w:r>
      <w:r>
        <w:rPr>
          <w:b/>
        </w:rPr>
        <w:t xml:space="preserve"> </w:t>
      </w:r>
      <w:r>
        <w:t xml:space="preserve">but it broke down after only a few months. (the recipient of the car, indirectly the object that is acted upon, is the “I”) </w:t>
      </w:r>
      <w:r>
        <w:rPr>
          <w:u w:val="single"/>
        </w:rPr>
        <w:br/>
      </w:r>
    </w:p>
    <w:p w:rsidR="00206CDB" w:rsidRDefault="00206CDB" w:rsidP="00206CDB">
      <w:pPr>
        <w:pStyle w:val="ListParagraph"/>
        <w:numPr>
          <w:ilvl w:val="0"/>
          <w:numId w:val="6"/>
        </w:numPr>
        <w:contextualSpacing/>
      </w:pPr>
      <w:r w:rsidRPr="001336E6">
        <w:t>Caroline made tea for Ma</w:t>
      </w:r>
      <w:r>
        <w:t>dison</w:t>
      </w:r>
      <w:r w:rsidRPr="001336E6">
        <w:t xml:space="preserve"> and </w:t>
      </w:r>
      <w:r w:rsidRPr="003B020E">
        <w:rPr>
          <w:b/>
        </w:rPr>
        <w:t>herself</w:t>
      </w:r>
      <w:r>
        <w:t>; it was English Breakfast Tea, which was her personal favorite.  (Madison is indirectly the object that receives the tea).</w:t>
      </w:r>
      <w:r>
        <w:br/>
      </w:r>
    </w:p>
    <w:p w:rsidR="00206CDB" w:rsidRDefault="00206CDB" w:rsidP="00206CDB">
      <w:pPr>
        <w:pStyle w:val="ListParagraph"/>
        <w:numPr>
          <w:ilvl w:val="0"/>
          <w:numId w:val="6"/>
        </w:numPr>
        <w:contextualSpacing/>
      </w:pPr>
      <w:r>
        <w:t xml:space="preserve">You should be ashamed of </w:t>
      </w:r>
      <w:r w:rsidRPr="003B020E">
        <w:rPr>
          <w:b/>
        </w:rPr>
        <w:t>yourselves</w:t>
      </w:r>
      <w:r>
        <w:t xml:space="preserve"> for how you acted in Colombia.  (the “you” is what is being acted upon).</w:t>
      </w:r>
    </w:p>
    <w:p w:rsidR="00206CDB" w:rsidRDefault="00206CDB" w:rsidP="00206CDB">
      <w:pPr>
        <w:pStyle w:val="ListParagraph"/>
        <w:ind w:left="1080"/>
        <w:contextualSpacing/>
      </w:pPr>
    </w:p>
    <w:p w:rsidR="00206CDB" w:rsidRPr="001336E6" w:rsidRDefault="00206CDB" w:rsidP="00206CDB">
      <w:pPr>
        <w:pStyle w:val="ListParagraph"/>
        <w:numPr>
          <w:ilvl w:val="0"/>
          <w:numId w:val="6"/>
        </w:numPr>
        <w:contextualSpacing/>
      </w:pPr>
      <w:r>
        <w:t xml:space="preserve">They must have said to </w:t>
      </w:r>
      <w:r w:rsidRPr="003B020E">
        <w:rPr>
          <w:b/>
        </w:rPr>
        <w:t>themselves</w:t>
      </w:r>
      <w:r>
        <w:t xml:space="preserve">, “We can do this!”    (the “saying” is directed to </w:t>
      </w:r>
      <w:proofErr w:type="gramStart"/>
      <w:r>
        <w:t>“they”</w:t>
      </w:r>
      <w:proofErr w:type="gramEnd"/>
      <w:r>
        <w:t>)</w:t>
      </w:r>
    </w:p>
    <w:p w:rsidR="00206CDB" w:rsidRPr="001336E6" w:rsidRDefault="00206CDB" w:rsidP="00206CDB">
      <w:r w:rsidRPr="001336E6">
        <w:tab/>
      </w:r>
    </w:p>
    <w:p w:rsidR="00206CDB" w:rsidRDefault="00206CDB" w:rsidP="00206CDB"/>
    <w:p w:rsidR="00206CDB" w:rsidRDefault="00206CDB" w:rsidP="00206CDB">
      <w:pPr>
        <w:pStyle w:val="Heading2"/>
      </w:pPr>
      <w:bookmarkStart w:id="11" w:name="_Toc331673045"/>
      <w:r w:rsidRPr="001336E6">
        <w:t>Reciprocal Pronouns</w:t>
      </w:r>
      <w:bookmarkEnd w:id="11"/>
    </w:p>
    <w:p w:rsidR="00206CDB" w:rsidRDefault="00206CDB" w:rsidP="00206CDB">
      <w:pPr>
        <w:rPr>
          <w:b/>
        </w:rPr>
      </w:pPr>
    </w:p>
    <w:p w:rsidR="00206CDB" w:rsidRPr="001336E6" w:rsidRDefault="00206CDB" w:rsidP="00206CDB">
      <w:r>
        <w:t>Reciprocal Pronouns</w:t>
      </w:r>
      <w:r w:rsidRPr="001336E6">
        <w:t xml:space="preserve"> include </w:t>
      </w:r>
      <w:r w:rsidRPr="001336E6">
        <w:rPr>
          <w:i/>
        </w:rPr>
        <w:t>each other</w:t>
      </w:r>
      <w:r w:rsidRPr="001336E6">
        <w:t xml:space="preserve"> and </w:t>
      </w:r>
      <w:proofErr w:type="gramStart"/>
      <w:r w:rsidRPr="001336E6">
        <w:rPr>
          <w:i/>
        </w:rPr>
        <w:t>one another</w:t>
      </w:r>
      <w:r w:rsidRPr="001336E6">
        <w:t>, and</w:t>
      </w:r>
      <w:proofErr w:type="gramEnd"/>
      <w:r w:rsidRPr="001336E6">
        <w:t xml:space="preserve"> serve either as determiners (in the possessive case) or as subjects. </w:t>
      </w:r>
    </w:p>
    <w:p w:rsidR="00206CDB" w:rsidRDefault="00206CDB" w:rsidP="00206CDB">
      <w:r>
        <w:br/>
        <w:t xml:space="preserve">Here are some examples of Reciprocal Pronouns: </w:t>
      </w:r>
    </w:p>
    <w:p w:rsidR="00206CDB" w:rsidRDefault="00206CDB" w:rsidP="00206CDB">
      <w:r>
        <w:rPr>
          <w:noProof/>
        </w:rPr>
        <w:drawing>
          <wp:anchor distT="0" distB="0" distL="114300" distR="114300" simplePos="0" relativeHeight="251660288" behindDoc="1" locked="0" layoutInCell="1" allowOverlap="1" wp14:anchorId="408E9BA0" wp14:editId="39F5163A">
            <wp:simplePos x="0" y="0"/>
            <wp:positionH relativeFrom="margin">
              <wp:align>right</wp:align>
            </wp:positionH>
            <wp:positionV relativeFrom="paragraph">
              <wp:posOffset>21590</wp:posOffset>
            </wp:positionV>
            <wp:extent cx="1854200" cy="1866900"/>
            <wp:effectExtent l="152400" t="152400" r="355600" b="361950"/>
            <wp:wrapTight wrapText="bothSides">
              <wp:wrapPolygon edited="0">
                <wp:start x="888" y="-1763"/>
                <wp:lineTo x="-1775" y="-1322"/>
                <wp:lineTo x="-1775" y="19837"/>
                <wp:lineTo x="-1332" y="23363"/>
                <wp:lineTo x="1997" y="25127"/>
                <wp:lineTo x="2219" y="25567"/>
                <wp:lineTo x="21526" y="25567"/>
                <wp:lineTo x="21748" y="25127"/>
                <wp:lineTo x="24855" y="23363"/>
                <wp:lineTo x="25521" y="19837"/>
                <wp:lineTo x="25521" y="2204"/>
                <wp:lineTo x="22858" y="-1102"/>
                <wp:lineTo x="22636" y="-1763"/>
                <wp:lineTo x="888" y="-17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ows-circle.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854200" cy="18669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06CDB" w:rsidRDefault="00206CDB" w:rsidP="00206CDB">
      <w:pPr>
        <w:pStyle w:val="ListParagraph"/>
        <w:numPr>
          <w:ilvl w:val="0"/>
          <w:numId w:val="9"/>
        </w:numPr>
        <w:contextualSpacing/>
      </w:pPr>
      <w:r>
        <w:t>Michaela</w:t>
      </w:r>
      <w:r w:rsidRPr="001336E6">
        <w:t xml:space="preserve"> and </w:t>
      </w:r>
      <w:r>
        <w:t>Colleen</w:t>
      </w:r>
      <w:r w:rsidRPr="001336E6">
        <w:t xml:space="preserve"> see </w:t>
      </w:r>
      <w:r w:rsidRPr="003B020E">
        <w:rPr>
          <w:b/>
        </w:rPr>
        <w:t>each other</w:t>
      </w:r>
      <w:r w:rsidRPr="001336E6">
        <w:t xml:space="preserve"> every weekend.</w:t>
      </w:r>
      <w:r>
        <w:br/>
      </w:r>
    </w:p>
    <w:p w:rsidR="00206CDB" w:rsidRDefault="00206CDB" w:rsidP="00206CDB">
      <w:pPr>
        <w:pStyle w:val="ListParagraph"/>
        <w:numPr>
          <w:ilvl w:val="0"/>
          <w:numId w:val="9"/>
        </w:numPr>
        <w:contextualSpacing/>
      </w:pPr>
      <w:r>
        <w:t>Abigail and Constanza</w:t>
      </w:r>
      <w:r w:rsidRPr="001336E6">
        <w:t xml:space="preserve"> wash </w:t>
      </w:r>
      <w:r w:rsidRPr="003B020E">
        <w:rPr>
          <w:b/>
        </w:rPr>
        <w:t>each other’s</w:t>
      </w:r>
      <w:r w:rsidRPr="001336E6">
        <w:t xml:space="preserve"> cars on Sundays.</w:t>
      </w:r>
      <w:r>
        <w:br/>
      </w:r>
    </w:p>
    <w:p w:rsidR="00206CDB" w:rsidRDefault="00206CDB" w:rsidP="00206CDB">
      <w:pPr>
        <w:pStyle w:val="ListParagraph"/>
        <w:numPr>
          <w:ilvl w:val="0"/>
          <w:numId w:val="9"/>
        </w:numPr>
        <w:contextualSpacing/>
      </w:pPr>
      <w:r w:rsidRPr="001336E6">
        <w:t xml:space="preserve">We like to help </w:t>
      </w:r>
      <w:r w:rsidRPr="003B020E">
        <w:rPr>
          <w:b/>
        </w:rPr>
        <w:t>one another</w:t>
      </w:r>
      <w:r w:rsidRPr="001336E6">
        <w:t xml:space="preserve"> with homework.</w:t>
      </w:r>
      <w:r>
        <w:br/>
      </w:r>
    </w:p>
    <w:p w:rsidR="00206CDB" w:rsidRDefault="00206CDB" w:rsidP="00206CDB">
      <w:pPr>
        <w:pStyle w:val="ListParagraph"/>
        <w:numPr>
          <w:ilvl w:val="0"/>
          <w:numId w:val="9"/>
        </w:numPr>
        <w:contextualSpacing/>
      </w:pPr>
      <w:r w:rsidRPr="001336E6">
        <w:t xml:space="preserve">Meshack’s neighbors help </w:t>
      </w:r>
      <w:r w:rsidRPr="003B020E">
        <w:rPr>
          <w:b/>
        </w:rPr>
        <w:t>one another</w:t>
      </w:r>
      <w:r w:rsidRPr="001336E6">
        <w:t xml:space="preserve"> with gardening every Monday.</w:t>
      </w:r>
    </w:p>
    <w:p w:rsidR="00206CDB" w:rsidRPr="001336E6" w:rsidRDefault="00206CDB" w:rsidP="00206CDB">
      <w:pPr>
        <w:ind w:left="1440" w:hanging="720"/>
      </w:pPr>
    </w:p>
    <w:p w:rsidR="00206CDB" w:rsidRPr="00993419" w:rsidRDefault="00206CDB" w:rsidP="00206CDB">
      <w:pPr>
        <w:pStyle w:val="Heading2"/>
      </w:pPr>
      <w:bookmarkStart w:id="12" w:name="_Toc331673046"/>
      <w:r w:rsidRPr="00993419">
        <w:t>Demonstrative Pronouns</w:t>
      </w:r>
      <w:bookmarkEnd w:id="12"/>
    </w:p>
    <w:p w:rsidR="00206CDB" w:rsidRDefault="00206CDB" w:rsidP="00206CDB">
      <w:pPr>
        <w:rPr>
          <w:b/>
        </w:rPr>
      </w:pPr>
    </w:p>
    <w:p w:rsidR="00206CDB" w:rsidRPr="001336E6" w:rsidRDefault="00206CDB" w:rsidP="00206CDB">
      <w:r>
        <w:t>These types of pronouns</w:t>
      </w:r>
      <w:r w:rsidRPr="001336E6">
        <w:t xml:space="preserve"> include </w:t>
      </w:r>
      <w:r w:rsidRPr="001336E6">
        <w:rPr>
          <w:i/>
        </w:rPr>
        <w:t>this</w:t>
      </w:r>
      <w:r w:rsidRPr="001336E6">
        <w:t xml:space="preserve"> (singular) and </w:t>
      </w:r>
      <w:r w:rsidRPr="001336E6">
        <w:rPr>
          <w:i/>
        </w:rPr>
        <w:t>these</w:t>
      </w:r>
      <w:r w:rsidRPr="001336E6">
        <w:t xml:space="preserve"> (plural) and </w:t>
      </w:r>
      <w:r w:rsidRPr="001336E6">
        <w:rPr>
          <w:i/>
        </w:rPr>
        <w:t>that</w:t>
      </w:r>
      <w:r w:rsidRPr="001336E6">
        <w:t xml:space="preserve"> (singular) and </w:t>
      </w:r>
      <w:r w:rsidRPr="001336E6">
        <w:rPr>
          <w:i/>
        </w:rPr>
        <w:t>those</w:t>
      </w:r>
      <w:r w:rsidRPr="001336E6">
        <w:t xml:space="preserve"> (plural), words used to signal the speaker’s distance (proximity) from the object.  </w:t>
      </w:r>
      <w:r>
        <w:br/>
      </w:r>
    </w:p>
    <w:p w:rsidR="00206CDB" w:rsidRDefault="00206CDB" w:rsidP="00206CDB">
      <w:r w:rsidRPr="001336E6">
        <w:tab/>
      </w:r>
    </w:p>
    <w:tbl>
      <w:tblPr>
        <w:tblW w:w="0" w:type="auto"/>
        <w:jc w:val="center"/>
        <w:tblLook w:val="04A0" w:firstRow="1" w:lastRow="0" w:firstColumn="1" w:lastColumn="0" w:noHBand="0" w:noVBand="1"/>
      </w:tblPr>
      <w:tblGrid>
        <w:gridCol w:w="2439"/>
        <w:gridCol w:w="2439"/>
        <w:gridCol w:w="2439"/>
      </w:tblGrid>
      <w:tr w:rsidR="00206CDB" w:rsidRPr="00D60E5F" w:rsidTr="00895839">
        <w:trPr>
          <w:jc w:val="center"/>
        </w:trPr>
        <w:tc>
          <w:tcPr>
            <w:tcW w:w="2439" w:type="dxa"/>
            <w:shd w:val="clear" w:color="auto" w:fill="auto"/>
          </w:tcPr>
          <w:p w:rsidR="00206CDB" w:rsidRPr="00D60E5F" w:rsidRDefault="00206CDB" w:rsidP="00895839">
            <w:pPr>
              <w:rPr>
                <w:u w:val="single"/>
              </w:rPr>
            </w:pPr>
            <w:r w:rsidRPr="00D60E5F">
              <w:rPr>
                <w:b/>
                <w:u w:val="single"/>
              </w:rPr>
              <w:t>Proximity</w:t>
            </w:r>
          </w:p>
        </w:tc>
        <w:tc>
          <w:tcPr>
            <w:tcW w:w="4878" w:type="dxa"/>
            <w:gridSpan w:val="2"/>
            <w:shd w:val="clear" w:color="auto" w:fill="auto"/>
          </w:tcPr>
          <w:p w:rsidR="00206CDB" w:rsidRPr="00D60E5F" w:rsidRDefault="00206CDB" w:rsidP="00895839">
            <w:pPr>
              <w:jc w:val="center"/>
              <w:rPr>
                <w:u w:val="single"/>
              </w:rPr>
            </w:pPr>
            <w:r w:rsidRPr="00D60E5F">
              <w:rPr>
                <w:b/>
                <w:u w:val="single"/>
              </w:rPr>
              <w:t>Number</w:t>
            </w:r>
          </w:p>
        </w:tc>
      </w:tr>
      <w:tr w:rsidR="00206CDB" w:rsidRPr="00D60E5F" w:rsidTr="00895839">
        <w:trPr>
          <w:jc w:val="center"/>
        </w:trPr>
        <w:tc>
          <w:tcPr>
            <w:tcW w:w="2439" w:type="dxa"/>
            <w:shd w:val="clear" w:color="auto" w:fill="auto"/>
          </w:tcPr>
          <w:p w:rsidR="00206CDB" w:rsidRPr="00D60E5F" w:rsidRDefault="00206CDB" w:rsidP="00895839">
            <w:pPr>
              <w:rPr>
                <w:i/>
              </w:rPr>
            </w:pPr>
          </w:p>
        </w:tc>
        <w:tc>
          <w:tcPr>
            <w:tcW w:w="2439" w:type="dxa"/>
            <w:shd w:val="clear" w:color="auto" w:fill="auto"/>
          </w:tcPr>
          <w:p w:rsidR="00206CDB" w:rsidRPr="00D60E5F" w:rsidRDefault="00206CDB" w:rsidP="00895839">
            <w:pPr>
              <w:jc w:val="center"/>
              <w:rPr>
                <w:b/>
                <w:i/>
              </w:rPr>
            </w:pPr>
            <w:r w:rsidRPr="00D60E5F">
              <w:rPr>
                <w:b/>
                <w:i/>
              </w:rPr>
              <w:t>Singular</w:t>
            </w:r>
          </w:p>
        </w:tc>
        <w:tc>
          <w:tcPr>
            <w:tcW w:w="2439" w:type="dxa"/>
            <w:shd w:val="clear" w:color="auto" w:fill="auto"/>
          </w:tcPr>
          <w:p w:rsidR="00206CDB" w:rsidRPr="00D60E5F" w:rsidRDefault="00206CDB" w:rsidP="00895839">
            <w:pPr>
              <w:jc w:val="center"/>
              <w:rPr>
                <w:b/>
                <w:i/>
              </w:rPr>
            </w:pPr>
            <w:r w:rsidRPr="00D60E5F">
              <w:rPr>
                <w:b/>
                <w:i/>
              </w:rPr>
              <w:t>Plural</w:t>
            </w:r>
          </w:p>
        </w:tc>
      </w:tr>
      <w:tr w:rsidR="00206CDB" w:rsidTr="00895839">
        <w:trPr>
          <w:jc w:val="center"/>
        </w:trPr>
        <w:tc>
          <w:tcPr>
            <w:tcW w:w="2439" w:type="dxa"/>
            <w:shd w:val="clear" w:color="auto" w:fill="auto"/>
          </w:tcPr>
          <w:p w:rsidR="00206CDB" w:rsidRDefault="00206CDB" w:rsidP="00895839">
            <w:r w:rsidRPr="001336E6">
              <w:t>Near</w:t>
            </w:r>
          </w:p>
        </w:tc>
        <w:tc>
          <w:tcPr>
            <w:tcW w:w="2439" w:type="dxa"/>
            <w:shd w:val="clear" w:color="auto" w:fill="auto"/>
          </w:tcPr>
          <w:p w:rsidR="00206CDB" w:rsidRDefault="00206CDB" w:rsidP="00895839">
            <w:pPr>
              <w:jc w:val="center"/>
            </w:pPr>
            <w:r w:rsidRPr="001336E6">
              <w:t>this</w:t>
            </w:r>
          </w:p>
        </w:tc>
        <w:tc>
          <w:tcPr>
            <w:tcW w:w="2439" w:type="dxa"/>
            <w:shd w:val="clear" w:color="auto" w:fill="auto"/>
          </w:tcPr>
          <w:p w:rsidR="00206CDB" w:rsidRDefault="00206CDB" w:rsidP="00895839">
            <w:pPr>
              <w:jc w:val="center"/>
            </w:pPr>
            <w:r w:rsidRPr="001336E6">
              <w:t>these</w:t>
            </w:r>
          </w:p>
        </w:tc>
      </w:tr>
      <w:tr w:rsidR="00206CDB" w:rsidTr="00895839">
        <w:trPr>
          <w:jc w:val="center"/>
        </w:trPr>
        <w:tc>
          <w:tcPr>
            <w:tcW w:w="2439" w:type="dxa"/>
            <w:shd w:val="clear" w:color="auto" w:fill="auto"/>
          </w:tcPr>
          <w:p w:rsidR="00206CDB" w:rsidRDefault="00206CDB" w:rsidP="00895839">
            <w:r w:rsidRPr="001336E6">
              <w:t>Distant</w:t>
            </w:r>
          </w:p>
        </w:tc>
        <w:tc>
          <w:tcPr>
            <w:tcW w:w="2439" w:type="dxa"/>
            <w:shd w:val="clear" w:color="auto" w:fill="auto"/>
          </w:tcPr>
          <w:p w:rsidR="00206CDB" w:rsidRDefault="00206CDB" w:rsidP="00895839">
            <w:pPr>
              <w:jc w:val="center"/>
            </w:pPr>
            <w:r w:rsidRPr="001336E6">
              <w:t>that</w:t>
            </w:r>
          </w:p>
        </w:tc>
        <w:tc>
          <w:tcPr>
            <w:tcW w:w="2439" w:type="dxa"/>
            <w:shd w:val="clear" w:color="auto" w:fill="auto"/>
          </w:tcPr>
          <w:p w:rsidR="00206CDB" w:rsidRDefault="00206CDB" w:rsidP="00895839">
            <w:pPr>
              <w:jc w:val="center"/>
            </w:pPr>
            <w:r w:rsidRPr="001336E6">
              <w:t>those</w:t>
            </w:r>
          </w:p>
        </w:tc>
      </w:tr>
    </w:tbl>
    <w:p w:rsidR="00206CDB" w:rsidRDefault="00206CDB" w:rsidP="00206CDB">
      <w:r>
        <w:br/>
      </w:r>
    </w:p>
    <w:p w:rsidR="00206CDB" w:rsidRDefault="00206CDB" w:rsidP="00206CDB">
      <w:r>
        <w:t>Here are some examples of Demonstrative Pronouns at work:</w:t>
      </w:r>
    </w:p>
    <w:p w:rsidR="00206CDB" w:rsidRDefault="00206CDB" w:rsidP="00206CDB"/>
    <w:p w:rsidR="00206CDB" w:rsidRDefault="00206CDB" w:rsidP="00206CDB">
      <w:pPr>
        <w:pStyle w:val="ListParagraph"/>
        <w:numPr>
          <w:ilvl w:val="0"/>
          <w:numId w:val="10"/>
        </w:numPr>
        <w:contextualSpacing/>
      </w:pPr>
      <w:r>
        <w:t>This chair is taken, but that one is not.</w:t>
      </w:r>
      <w:r>
        <w:br/>
      </w:r>
    </w:p>
    <w:p w:rsidR="00206CDB" w:rsidRDefault="00206CDB" w:rsidP="00206CDB">
      <w:pPr>
        <w:pStyle w:val="ListParagraph"/>
        <w:numPr>
          <w:ilvl w:val="0"/>
          <w:numId w:val="10"/>
        </w:numPr>
        <w:contextualSpacing/>
      </w:pPr>
      <w:r>
        <w:t xml:space="preserve">These cars belong to Senator Dorsey’s campaign; those over there are Congressman </w:t>
      </w:r>
      <w:proofErr w:type="spellStart"/>
      <w:r>
        <w:t>Delphino’s</w:t>
      </w:r>
      <w:proofErr w:type="spellEnd"/>
      <w:r>
        <w:t xml:space="preserve">.  </w:t>
      </w:r>
      <w:r>
        <w:br/>
      </w:r>
    </w:p>
    <w:p w:rsidR="00206CDB" w:rsidRPr="001336E6" w:rsidRDefault="00206CDB" w:rsidP="00206CDB">
      <w:pPr>
        <w:pStyle w:val="ListParagraph"/>
        <w:numPr>
          <w:ilvl w:val="0"/>
          <w:numId w:val="10"/>
        </w:numPr>
        <w:contextualSpacing/>
      </w:pPr>
      <w:r>
        <w:t xml:space="preserve">That star, way off in the distance, is Gaius 23; they say it may have an earth-like planet orbiting it.  </w:t>
      </w:r>
      <w:r>
        <w:br/>
      </w:r>
    </w:p>
    <w:p w:rsidR="00206CDB" w:rsidRDefault="00206CDB" w:rsidP="00206CDB">
      <w:pPr>
        <w:pStyle w:val="ListParagraph"/>
        <w:numPr>
          <w:ilvl w:val="0"/>
          <w:numId w:val="10"/>
        </w:numPr>
        <w:contextualSpacing/>
      </w:pPr>
      <w:r>
        <w:t>That is a good chair, nice and comfortable.</w:t>
      </w:r>
      <w:r>
        <w:br/>
      </w:r>
    </w:p>
    <w:p w:rsidR="00206CDB" w:rsidRDefault="00206CDB" w:rsidP="00206CDB">
      <w:pPr>
        <w:pStyle w:val="ListParagraph"/>
        <w:numPr>
          <w:ilvl w:val="0"/>
          <w:numId w:val="10"/>
        </w:numPr>
        <w:contextualSpacing/>
      </w:pPr>
      <w:r>
        <w:t>Those who plan thoroughly often succeed.</w:t>
      </w:r>
    </w:p>
    <w:p w:rsidR="00206CDB" w:rsidRPr="001336E6" w:rsidRDefault="00206CDB" w:rsidP="00206CDB">
      <w:pPr>
        <w:pStyle w:val="ListParagraph"/>
        <w:ind w:left="1080"/>
        <w:contextualSpacing/>
      </w:pPr>
      <w:r w:rsidRPr="001336E6">
        <w:tab/>
      </w:r>
      <w:r w:rsidRPr="001336E6">
        <w:tab/>
      </w:r>
      <w:r w:rsidRPr="001336E6">
        <w:tab/>
      </w:r>
      <w:r w:rsidRPr="001336E6">
        <w:tab/>
      </w:r>
      <w:r w:rsidRPr="001336E6">
        <w:tab/>
      </w:r>
      <w:r w:rsidRPr="001336E6">
        <w:tab/>
      </w:r>
      <w:r w:rsidRPr="001336E6">
        <w:tab/>
      </w:r>
    </w:p>
    <w:p w:rsidR="00206CDB" w:rsidRDefault="00206CDB" w:rsidP="00206CDB">
      <w:pPr>
        <w:pStyle w:val="Heading2"/>
      </w:pPr>
      <w:bookmarkStart w:id="13" w:name="_Toc331673047"/>
      <w:r w:rsidRPr="001336E6">
        <w:t>Relative Pronouns</w:t>
      </w:r>
      <w:bookmarkEnd w:id="13"/>
    </w:p>
    <w:p w:rsidR="00206CDB" w:rsidRDefault="00206CDB" w:rsidP="00206CDB">
      <w:pPr>
        <w:rPr>
          <w:b/>
        </w:rPr>
      </w:pPr>
    </w:p>
    <w:p w:rsidR="00206CDB" w:rsidRDefault="00206CDB" w:rsidP="00206CDB">
      <w:r>
        <w:t>Relative Pronouns</w:t>
      </w:r>
      <w:r w:rsidRPr="001336E6">
        <w:t xml:space="preserve"> include </w:t>
      </w:r>
      <w:r w:rsidRPr="001336E6">
        <w:rPr>
          <w:i/>
        </w:rPr>
        <w:t>who</w:t>
      </w:r>
      <w:r w:rsidRPr="001336E6">
        <w:t xml:space="preserve">, </w:t>
      </w:r>
      <w:r w:rsidRPr="001336E6">
        <w:rPr>
          <w:i/>
        </w:rPr>
        <w:t>whose</w:t>
      </w:r>
      <w:r w:rsidRPr="001336E6">
        <w:t xml:space="preserve"> (possessive form of </w:t>
      </w:r>
      <w:r w:rsidRPr="001336E6">
        <w:rPr>
          <w:i/>
        </w:rPr>
        <w:t>who</w:t>
      </w:r>
      <w:r w:rsidRPr="001336E6">
        <w:t xml:space="preserve"> and </w:t>
      </w:r>
      <w:r w:rsidRPr="001336E6">
        <w:rPr>
          <w:i/>
        </w:rPr>
        <w:t>which</w:t>
      </w:r>
      <w:r w:rsidRPr="001336E6">
        <w:t xml:space="preserve">), </w:t>
      </w:r>
      <w:r w:rsidRPr="001336E6">
        <w:rPr>
          <w:i/>
        </w:rPr>
        <w:t>which</w:t>
      </w:r>
      <w:r w:rsidRPr="001336E6">
        <w:t xml:space="preserve">, and </w:t>
      </w:r>
      <w:r w:rsidRPr="001336E6">
        <w:rPr>
          <w:i/>
        </w:rPr>
        <w:t>that</w:t>
      </w:r>
      <w:r w:rsidRPr="001336E6">
        <w:t xml:space="preserve">. They introduce clauses that modify the nouns that are their antecedents. This means that the pronoun </w:t>
      </w:r>
      <w:r w:rsidRPr="001336E6">
        <w:rPr>
          <w:i/>
        </w:rPr>
        <w:t>who</w:t>
      </w:r>
      <w:r w:rsidRPr="001336E6">
        <w:t xml:space="preserve">, </w:t>
      </w:r>
      <w:r w:rsidRPr="001336E6">
        <w:rPr>
          <w:i/>
        </w:rPr>
        <w:t>which</w:t>
      </w:r>
      <w:r w:rsidRPr="001336E6">
        <w:t>, or that renames the noun (antecedent) that comes before it.</w:t>
      </w:r>
    </w:p>
    <w:p w:rsidR="00206CDB" w:rsidRDefault="00206CDB" w:rsidP="00206CDB"/>
    <w:p w:rsidR="00206CDB" w:rsidRPr="001336E6" w:rsidRDefault="00206CDB" w:rsidP="00206CDB">
      <w:r>
        <w:t>Here are some examples of Relative Pronouns:</w:t>
      </w:r>
      <w:r>
        <w:br/>
      </w:r>
    </w:p>
    <w:p w:rsidR="00206CDB" w:rsidRPr="001336E6" w:rsidRDefault="00206CDB" w:rsidP="00206CDB">
      <w:pPr>
        <w:pStyle w:val="ListParagraph"/>
        <w:numPr>
          <w:ilvl w:val="0"/>
          <w:numId w:val="7"/>
        </w:numPr>
        <w:contextualSpacing/>
      </w:pPr>
      <w:r w:rsidRPr="001336E6">
        <w:t xml:space="preserve">The student </w:t>
      </w:r>
      <w:r w:rsidRPr="00993419">
        <w:t>who sits in the front row</w:t>
      </w:r>
      <w:r w:rsidRPr="001336E6">
        <w:t xml:space="preserve"> gave me this pen.</w:t>
      </w:r>
      <w:r>
        <w:t xml:space="preserve">  (“who” introduces a modifier of “student”)</w:t>
      </w:r>
      <w:r>
        <w:br/>
      </w:r>
    </w:p>
    <w:p w:rsidR="00206CDB" w:rsidRPr="001336E6" w:rsidRDefault="00206CDB" w:rsidP="00206CDB">
      <w:pPr>
        <w:pStyle w:val="ListParagraph"/>
        <w:numPr>
          <w:ilvl w:val="0"/>
          <w:numId w:val="7"/>
        </w:numPr>
        <w:contextualSpacing/>
      </w:pPr>
      <w:r w:rsidRPr="001336E6">
        <w:t xml:space="preserve">The student </w:t>
      </w:r>
      <w:r w:rsidRPr="00993419">
        <w:t>whose book I borrowed</w:t>
      </w:r>
      <w:r w:rsidRPr="001336E6">
        <w:t xml:space="preserve"> did not come to school today. </w:t>
      </w:r>
      <w:r>
        <w:t>(“whose” introduces a modifier of “student”)</w:t>
      </w:r>
      <w:r>
        <w:br/>
      </w:r>
      <w:r>
        <w:br/>
      </w:r>
      <w:r>
        <w:lastRenderedPageBreak/>
        <w:br/>
      </w:r>
    </w:p>
    <w:p w:rsidR="00206CDB" w:rsidRDefault="00206CDB" w:rsidP="00206CDB">
      <w:pPr>
        <w:pStyle w:val="ListParagraph"/>
        <w:numPr>
          <w:ilvl w:val="0"/>
          <w:numId w:val="7"/>
        </w:numPr>
        <w:contextualSpacing/>
      </w:pPr>
      <w:r w:rsidRPr="001336E6">
        <w:t xml:space="preserve">The chair </w:t>
      </w:r>
      <w:r w:rsidRPr="00993419">
        <w:t>which Caroline bought yesterday</w:t>
      </w:r>
      <w:r w:rsidRPr="001336E6">
        <w:t xml:space="preserve"> is broken.</w:t>
      </w:r>
      <w:r>
        <w:t xml:space="preserve">   (“which” introduces a modifier of “chair”)</w:t>
      </w:r>
    </w:p>
    <w:p w:rsidR="00206CDB" w:rsidRDefault="00206CDB" w:rsidP="00206CDB">
      <w:pPr>
        <w:pStyle w:val="ListParagraph"/>
        <w:numPr>
          <w:ilvl w:val="0"/>
          <w:numId w:val="7"/>
        </w:numPr>
        <w:contextualSpacing/>
      </w:pPr>
      <w:r w:rsidRPr="001336E6">
        <w:t xml:space="preserve">The dog </w:t>
      </w:r>
      <w:r w:rsidRPr="00993419">
        <w:t>that barks at Maureen every morning</w:t>
      </w:r>
      <w:r w:rsidRPr="001336E6">
        <w:t xml:space="preserve"> is my neighbor’s.</w:t>
      </w:r>
      <w:r>
        <w:t xml:space="preserve">   (“that” introduces a modifier of “the dog.” </w:t>
      </w:r>
    </w:p>
    <w:p w:rsidR="00206CDB" w:rsidRDefault="00206CDB" w:rsidP="00206CDB">
      <w:pPr>
        <w:pStyle w:val="ListParagraph"/>
        <w:ind w:left="0"/>
        <w:contextualSpacing/>
      </w:pPr>
    </w:p>
    <w:p w:rsidR="00206CDB" w:rsidRDefault="00206CDB" w:rsidP="00206CDB">
      <w:pPr>
        <w:pStyle w:val="Heading2"/>
      </w:pPr>
      <w:bookmarkStart w:id="14" w:name="_Toc331673048"/>
      <w:r>
        <w:t>Indefinite Pronouns</w:t>
      </w:r>
      <w:bookmarkEnd w:id="14"/>
    </w:p>
    <w:p w:rsidR="00206CDB" w:rsidRDefault="00206CDB" w:rsidP="00206CDB">
      <w:pPr>
        <w:pStyle w:val="ListParagraph"/>
        <w:ind w:left="0"/>
        <w:contextualSpacing/>
      </w:pPr>
    </w:p>
    <w:p w:rsidR="00206CDB" w:rsidRPr="00993419" w:rsidRDefault="00206CDB" w:rsidP="00206CDB">
      <w:pPr>
        <w:pStyle w:val="ListParagraph"/>
        <w:ind w:left="0"/>
        <w:contextualSpacing/>
      </w:pPr>
      <w:r>
        <w:t xml:space="preserve">These pronouns are pronouns that include a </w:t>
      </w:r>
      <w:proofErr w:type="gramStart"/>
      <w:r>
        <w:t>number, but</w:t>
      </w:r>
      <w:proofErr w:type="gramEnd"/>
      <w:r>
        <w:t xml:space="preserve"> are non-specific as to how many. </w:t>
      </w:r>
    </w:p>
    <w:tbl>
      <w:tblPr>
        <w:tblW w:w="0" w:type="auto"/>
        <w:jc w:val="center"/>
        <w:tblLook w:val="04A0" w:firstRow="1" w:lastRow="0" w:firstColumn="1" w:lastColumn="0" w:noHBand="0" w:noVBand="1"/>
      </w:tblPr>
      <w:tblGrid>
        <w:gridCol w:w="1856"/>
        <w:gridCol w:w="1854"/>
        <w:gridCol w:w="1893"/>
        <w:gridCol w:w="1883"/>
        <w:gridCol w:w="1874"/>
      </w:tblGrid>
      <w:tr w:rsidR="00206CDB" w:rsidRPr="00D60E5F" w:rsidTr="00895839">
        <w:trPr>
          <w:jc w:val="center"/>
        </w:trPr>
        <w:tc>
          <w:tcPr>
            <w:tcW w:w="1951" w:type="dxa"/>
            <w:shd w:val="clear" w:color="auto" w:fill="auto"/>
          </w:tcPr>
          <w:p w:rsidR="00206CDB" w:rsidRPr="00D60E5F" w:rsidRDefault="00206CDB" w:rsidP="00895839">
            <w:pPr>
              <w:pStyle w:val="NormalWeb"/>
              <w:rPr>
                <w:rFonts w:eastAsia="Calibri"/>
              </w:rPr>
            </w:pPr>
            <w:r w:rsidRPr="00D60E5F">
              <w:rPr>
                <w:rFonts w:eastAsia="Calibri"/>
              </w:rPr>
              <w:t>All</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Some</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Enough</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Few</w:t>
            </w:r>
          </w:p>
        </w:tc>
        <w:tc>
          <w:tcPr>
            <w:tcW w:w="1952" w:type="dxa"/>
            <w:shd w:val="clear" w:color="auto" w:fill="auto"/>
          </w:tcPr>
          <w:p w:rsidR="00206CDB" w:rsidRPr="00D60E5F" w:rsidRDefault="00206CDB" w:rsidP="00895839">
            <w:pPr>
              <w:pStyle w:val="NormalWeb"/>
              <w:rPr>
                <w:rFonts w:eastAsia="Calibri"/>
              </w:rPr>
            </w:pPr>
            <w:r w:rsidRPr="00D60E5F">
              <w:rPr>
                <w:rFonts w:eastAsia="Calibri"/>
              </w:rPr>
              <w:t>Fewer</w:t>
            </w:r>
          </w:p>
        </w:tc>
      </w:tr>
      <w:tr w:rsidR="00206CDB" w:rsidRPr="00D60E5F" w:rsidTr="00895839">
        <w:trPr>
          <w:jc w:val="center"/>
        </w:trPr>
        <w:tc>
          <w:tcPr>
            <w:tcW w:w="1951" w:type="dxa"/>
            <w:shd w:val="clear" w:color="auto" w:fill="auto"/>
          </w:tcPr>
          <w:p w:rsidR="00206CDB" w:rsidRPr="00D60E5F" w:rsidRDefault="00206CDB" w:rsidP="00895839">
            <w:pPr>
              <w:pStyle w:val="NormalWeb"/>
              <w:rPr>
                <w:rFonts w:eastAsia="Calibri"/>
              </w:rPr>
            </w:pPr>
            <w:r w:rsidRPr="00D60E5F">
              <w:rPr>
                <w:rFonts w:eastAsia="Calibri"/>
              </w:rPr>
              <w:t>Much</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Both</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Several</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Every</w:t>
            </w:r>
          </w:p>
        </w:tc>
        <w:tc>
          <w:tcPr>
            <w:tcW w:w="1952" w:type="dxa"/>
            <w:shd w:val="clear" w:color="auto" w:fill="auto"/>
          </w:tcPr>
          <w:p w:rsidR="00206CDB" w:rsidRPr="00D60E5F" w:rsidRDefault="00206CDB" w:rsidP="00895839">
            <w:pPr>
              <w:pStyle w:val="NormalWeb"/>
              <w:rPr>
                <w:rFonts w:eastAsia="Calibri"/>
              </w:rPr>
            </w:pPr>
            <w:r w:rsidRPr="00D60E5F">
              <w:rPr>
                <w:rFonts w:eastAsia="Calibri"/>
              </w:rPr>
              <w:t>None</w:t>
            </w:r>
          </w:p>
        </w:tc>
      </w:tr>
      <w:tr w:rsidR="00206CDB" w:rsidRPr="00D60E5F" w:rsidTr="00895839">
        <w:trPr>
          <w:jc w:val="center"/>
        </w:trPr>
        <w:tc>
          <w:tcPr>
            <w:tcW w:w="1951" w:type="dxa"/>
            <w:shd w:val="clear" w:color="auto" w:fill="auto"/>
          </w:tcPr>
          <w:p w:rsidR="00206CDB" w:rsidRPr="00D60E5F" w:rsidRDefault="00206CDB" w:rsidP="00895839">
            <w:pPr>
              <w:pStyle w:val="NormalWeb"/>
              <w:rPr>
                <w:rFonts w:eastAsia="Calibri"/>
              </w:rPr>
            </w:pPr>
            <w:r w:rsidRPr="00D60E5F">
              <w:rPr>
                <w:rFonts w:eastAsia="Calibri"/>
              </w:rPr>
              <w:t>Less</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More</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 xml:space="preserve">Each </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Little</w:t>
            </w:r>
          </w:p>
        </w:tc>
        <w:tc>
          <w:tcPr>
            <w:tcW w:w="1952" w:type="dxa"/>
            <w:shd w:val="clear" w:color="auto" w:fill="auto"/>
          </w:tcPr>
          <w:p w:rsidR="00206CDB" w:rsidRPr="00D60E5F" w:rsidRDefault="00206CDB" w:rsidP="00895839">
            <w:pPr>
              <w:pStyle w:val="NormalWeb"/>
              <w:rPr>
                <w:rFonts w:eastAsia="Calibri"/>
              </w:rPr>
            </w:pPr>
            <w:r w:rsidRPr="00D60E5F">
              <w:rPr>
                <w:rFonts w:eastAsia="Calibri"/>
              </w:rPr>
              <w:t>Most</w:t>
            </w:r>
          </w:p>
        </w:tc>
      </w:tr>
      <w:tr w:rsidR="00206CDB" w:rsidRPr="00D60E5F" w:rsidTr="00895839">
        <w:trPr>
          <w:jc w:val="center"/>
        </w:trPr>
        <w:tc>
          <w:tcPr>
            <w:tcW w:w="1951" w:type="dxa"/>
            <w:shd w:val="clear" w:color="auto" w:fill="auto"/>
          </w:tcPr>
          <w:p w:rsidR="00206CDB" w:rsidRPr="00D60E5F" w:rsidRDefault="00206CDB" w:rsidP="00895839">
            <w:pPr>
              <w:pStyle w:val="NormalWeb"/>
              <w:rPr>
                <w:rFonts w:eastAsia="Calibri"/>
              </w:rPr>
            </w:pPr>
            <w:r w:rsidRPr="00D60E5F">
              <w:rPr>
                <w:rFonts w:eastAsia="Calibri"/>
              </w:rPr>
              <w:t xml:space="preserve">Any </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One</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Somebody</w:t>
            </w:r>
          </w:p>
        </w:tc>
        <w:tc>
          <w:tcPr>
            <w:tcW w:w="1951" w:type="dxa"/>
            <w:shd w:val="clear" w:color="auto" w:fill="auto"/>
          </w:tcPr>
          <w:p w:rsidR="00206CDB" w:rsidRPr="00D60E5F" w:rsidRDefault="00206CDB" w:rsidP="00895839">
            <w:pPr>
              <w:pStyle w:val="NormalWeb"/>
              <w:rPr>
                <w:rFonts w:eastAsia="Calibri"/>
              </w:rPr>
            </w:pPr>
            <w:r w:rsidRPr="00D60E5F">
              <w:rPr>
                <w:rFonts w:eastAsia="Calibri"/>
              </w:rPr>
              <w:t>Anybody</w:t>
            </w:r>
          </w:p>
        </w:tc>
        <w:tc>
          <w:tcPr>
            <w:tcW w:w="1952" w:type="dxa"/>
            <w:shd w:val="clear" w:color="auto" w:fill="auto"/>
          </w:tcPr>
          <w:p w:rsidR="00206CDB" w:rsidRPr="00D60E5F" w:rsidRDefault="00206CDB" w:rsidP="00895839">
            <w:pPr>
              <w:pStyle w:val="NormalWeb"/>
              <w:rPr>
                <w:rFonts w:eastAsia="Calibri"/>
              </w:rPr>
            </w:pPr>
            <w:r w:rsidRPr="00D60E5F">
              <w:rPr>
                <w:rFonts w:eastAsia="Calibri"/>
              </w:rPr>
              <w:t>Nobody</w:t>
            </w:r>
          </w:p>
        </w:tc>
      </w:tr>
    </w:tbl>
    <w:p w:rsidR="00206CDB" w:rsidRDefault="00206CDB" w:rsidP="00206CDB">
      <w:pPr>
        <w:pStyle w:val="NormalWeb"/>
        <w:rPr>
          <w:rFonts w:ascii="Calibri" w:eastAsia="Calibri" w:hAnsi="Calibri"/>
        </w:rPr>
      </w:pPr>
    </w:p>
    <w:p w:rsidR="00206CDB" w:rsidRPr="00FD05A0" w:rsidRDefault="00206CDB" w:rsidP="00206CDB">
      <w:pPr>
        <w:pStyle w:val="NormalWeb"/>
        <w:rPr>
          <w:rFonts w:eastAsia="Calibri"/>
        </w:rPr>
      </w:pPr>
      <w:r w:rsidRPr="00FD05A0">
        <w:rPr>
          <w:rFonts w:eastAsia="Calibri"/>
        </w:rPr>
        <w:t>Here are some examples of Indefinite Pronouns:</w:t>
      </w:r>
    </w:p>
    <w:p w:rsidR="00206CDB" w:rsidRPr="00FD05A0" w:rsidRDefault="00206CDB" w:rsidP="00206CDB">
      <w:pPr>
        <w:pStyle w:val="ListParagraph"/>
        <w:numPr>
          <w:ilvl w:val="0"/>
          <w:numId w:val="11"/>
        </w:numPr>
        <w:contextualSpacing/>
      </w:pPr>
      <w:r w:rsidRPr="00FD05A0">
        <w:rPr>
          <w:b/>
        </w:rPr>
        <w:t>Some</w:t>
      </w:r>
      <w:r w:rsidRPr="00FD05A0">
        <w:t xml:space="preserve"> were expected to do far more for the effort than others, which caused friction among the team.</w:t>
      </w:r>
      <w:r>
        <w:br/>
      </w:r>
    </w:p>
    <w:p w:rsidR="00206CDB" w:rsidRPr="00FD05A0" w:rsidRDefault="00206CDB" w:rsidP="00206CDB">
      <w:pPr>
        <w:pStyle w:val="ListParagraph"/>
        <w:numPr>
          <w:ilvl w:val="0"/>
          <w:numId w:val="11"/>
        </w:numPr>
        <w:contextualSpacing/>
      </w:pPr>
      <w:r w:rsidRPr="00FD05A0">
        <w:rPr>
          <w:b/>
        </w:rPr>
        <w:t>Each</w:t>
      </w:r>
      <w:r w:rsidRPr="00FD05A0">
        <w:t xml:space="preserve"> one of you should re-examine your priorities in the coming months.</w:t>
      </w:r>
      <w:r>
        <w:br/>
      </w:r>
    </w:p>
    <w:p w:rsidR="00206CDB" w:rsidRPr="00FD05A0" w:rsidRDefault="00206CDB" w:rsidP="00206CDB">
      <w:pPr>
        <w:pStyle w:val="ListParagraph"/>
        <w:numPr>
          <w:ilvl w:val="0"/>
          <w:numId w:val="11"/>
        </w:numPr>
        <w:contextualSpacing/>
      </w:pPr>
      <w:r w:rsidRPr="00FD05A0">
        <w:rPr>
          <w:b/>
        </w:rPr>
        <w:t>Fewer</w:t>
      </w:r>
      <w:r w:rsidRPr="00FD05A0">
        <w:t xml:space="preserve"> than six members of the unit returned to duty after the incident in Fairbanks.</w:t>
      </w:r>
      <w:r>
        <w:br/>
      </w:r>
    </w:p>
    <w:p w:rsidR="00206CDB" w:rsidRPr="00FD05A0" w:rsidRDefault="00206CDB" w:rsidP="00206CDB">
      <w:pPr>
        <w:pStyle w:val="ListParagraph"/>
        <w:numPr>
          <w:ilvl w:val="0"/>
          <w:numId w:val="11"/>
        </w:numPr>
        <w:contextualSpacing/>
      </w:pPr>
      <w:r w:rsidRPr="00FD05A0">
        <w:t xml:space="preserve">Not many people get Foot and Mouth Disease or Scarlet Fever; I had </w:t>
      </w:r>
      <w:r w:rsidRPr="00FD05A0">
        <w:rPr>
          <w:b/>
        </w:rPr>
        <w:t>both</w:t>
      </w:r>
      <w:r w:rsidRPr="00FD05A0">
        <w:t xml:space="preserve">.  </w:t>
      </w:r>
      <w:r>
        <w:br/>
      </w:r>
    </w:p>
    <w:p w:rsidR="00206CDB" w:rsidRPr="00FD05A0" w:rsidRDefault="00206CDB" w:rsidP="00206CDB">
      <w:pPr>
        <w:pStyle w:val="ListParagraph"/>
        <w:numPr>
          <w:ilvl w:val="0"/>
          <w:numId w:val="11"/>
        </w:numPr>
        <w:contextualSpacing/>
      </w:pPr>
      <w:r w:rsidRPr="00FD05A0">
        <w:rPr>
          <w:b/>
        </w:rPr>
        <w:t>Little</w:t>
      </w:r>
      <w:r w:rsidRPr="00FD05A0">
        <w:t xml:space="preserve"> is known about the Pakistani intelligence service.  </w:t>
      </w:r>
    </w:p>
    <w:p w:rsidR="00206CDB" w:rsidRDefault="00206CDB">
      <w:pPr>
        <w:spacing w:after="160" w:line="259" w:lineRule="auto"/>
        <w:rPr>
          <w:rFonts w:ascii="Calibri" w:eastAsia="Calibri" w:hAnsi="Calibri"/>
        </w:rPr>
      </w:pPr>
      <w:r>
        <w:rPr>
          <w:rFonts w:ascii="Calibri" w:eastAsia="Calibri" w:hAnsi="Calibri"/>
        </w:rPr>
        <w:br w:type="page"/>
      </w:r>
    </w:p>
    <w:p w:rsidR="00206CDB" w:rsidRDefault="00206CDB" w:rsidP="00206CDB">
      <w:pPr>
        <w:pStyle w:val="NormalWeb"/>
        <w:ind w:left="1080"/>
        <w:rPr>
          <w:rFonts w:ascii="Calibri" w:eastAsia="Calibri" w:hAnsi="Calibri"/>
        </w:rPr>
      </w:pPr>
    </w:p>
    <w:p w:rsidR="00206CDB" w:rsidRDefault="00206CDB" w:rsidP="00206CDB"/>
    <w:p w:rsidR="00206CDB" w:rsidRDefault="00206CDB" w:rsidP="00206CDB">
      <w:pPr>
        <w:pStyle w:val="Caption"/>
      </w:pPr>
      <w:bookmarkStart w:id="15" w:name="_Toc323823556"/>
      <w:bookmarkStart w:id="16" w:name="_Toc329283344"/>
      <w:r>
        <w:t>Exercise: Pronoun Case Correction</w:t>
      </w:r>
      <w:bookmarkEnd w:id="15"/>
      <w:bookmarkEnd w:id="16"/>
    </w:p>
    <w:p w:rsidR="00206CDB" w:rsidRDefault="00206CDB" w:rsidP="00206CDB"/>
    <w:p w:rsidR="00206CDB" w:rsidRDefault="00206CDB" w:rsidP="00206CDB">
      <w:r>
        <w:t xml:space="preserve">Correct the use of pronouns in the following passage—some are unclear in their antecedents, and some are in the wrong form.  There are eleven (11) errors in total.  </w:t>
      </w:r>
    </w:p>
    <w:p w:rsidR="00206CDB" w:rsidRDefault="00206CDB" w:rsidP="00206CDB">
      <w:r>
        <w:br/>
      </w:r>
    </w:p>
    <w:p w:rsidR="00206CDB" w:rsidRDefault="00206CDB" w:rsidP="00206CDB">
      <w:pPr>
        <w:autoSpaceDE w:val="0"/>
        <w:autoSpaceDN w:val="0"/>
        <w:adjustRightInd w:val="0"/>
        <w:spacing w:line="600" w:lineRule="auto"/>
      </w:pPr>
      <w:r w:rsidRPr="00F27F3A">
        <w:t xml:space="preserve">Alyssa wanted to introduce Phillip to their aunt and uncle, who had raised him. At this time, they lived in a large apartment near downtown.  She warned her aunt and uncle that their new boyfriend was rather exceedingly tall. His uncle had always hoped she would marry a shorter man, as he his self was only five feet tall. Phillip, </w:t>
      </w:r>
      <w:proofErr w:type="gramStart"/>
      <w:r w:rsidRPr="00F27F3A">
        <w:t xml:space="preserve">however, </w:t>
      </w:r>
      <w:r>
        <w:t xml:space="preserve"> </w:t>
      </w:r>
      <w:r w:rsidRPr="00F27F3A">
        <w:t>was</w:t>
      </w:r>
      <w:proofErr w:type="gramEnd"/>
      <w:r w:rsidRPr="00F27F3A">
        <w:t xml:space="preserve"> well over six feet tall. Alyssa wasn’t sure if he would accept him. She met at an Italian restaurant near their apartment. They were pleased when Phillip eagerly consumed the pasta and veal on its plate. Besides that, her aunt could clearly see that Phillip cared deeply for her. She knew that Phillip was making a good impression on them. Not only that, but he showed great respect to him, which was important to it. </w:t>
      </w:r>
    </w:p>
    <w:p w:rsidR="00924A97" w:rsidRDefault="005F2374">
      <w:r>
        <w:t xml:space="preserve"> </w:t>
      </w:r>
    </w:p>
    <w:sectPr w:rsidR="00924A97" w:rsidSect="00930E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2D2" w:rsidRDefault="005412D2" w:rsidP="00334F2E">
      <w:r>
        <w:separator/>
      </w:r>
    </w:p>
  </w:endnote>
  <w:endnote w:type="continuationSeparator" w:id="0">
    <w:p w:rsidR="005412D2" w:rsidRDefault="005412D2"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EFFA5"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2D2" w:rsidRDefault="005412D2" w:rsidP="00334F2E">
      <w:r>
        <w:separator/>
      </w:r>
    </w:p>
  </w:footnote>
  <w:footnote w:type="continuationSeparator" w:id="0">
    <w:p w:rsidR="005412D2" w:rsidRDefault="005412D2"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1F4DB"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64F"/>
    <w:multiLevelType w:val="hybridMultilevel"/>
    <w:tmpl w:val="F5BE1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B28F0"/>
    <w:multiLevelType w:val="hybridMultilevel"/>
    <w:tmpl w:val="25E07162"/>
    <w:lvl w:ilvl="0" w:tplc="36B2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180CAF"/>
    <w:multiLevelType w:val="hybridMultilevel"/>
    <w:tmpl w:val="3B080B2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794826"/>
    <w:multiLevelType w:val="hybridMultilevel"/>
    <w:tmpl w:val="1FD802B4"/>
    <w:lvl w:ilvl="0" w:tplc="DC24D48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F7F5E28"/>
    <w:multiLevelType w:val="hybridMultilevel"/>
    <w:tmpl w:val="30E8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81352"/>
    <w:multiLevelType w:val="hybridMultilevel"/>
    <w:tmpl w:val="E726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611F5"/>
    <w:multiLevelType w:val="hybridMultilevel"/>
    <w:tmpl w:val="11DC9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5D4FDC"/>
    <w:multiLevelType w:val="hybridMultilevel"/>
    <w:tmpl w:val="25E07162"/>
    <w:lvl w:ilvl="0" w:tplc="36B2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D052B"/>
    <w:multiLevelType w:val="hybridMultilevel"/>
    <w:tmpl w:val="1C9C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D0901"/>
    <w:multiLevelType w:val="hybridMultilevel"/>
    <w:tmpl w:val="066A63A6"/>
    <w:lvl w:ilvl="0" w:tplc="DC24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9E55DE"/>
    <w:multiLevelType w:val="hybridMultilevel"/>
    <w:tmpl w:val="066A63A6"/>
    <w:lvl w:ilvl="0" w:tplc="DC24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493F45"/>
    <w:multiLevelType w:val="hybridMultilevel"/>
    <w:tmpl w:val="25E07162"/>
    <w:lvl w:ilvl="0" w:tplc="36B2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0"/>
  </w:num>
  <w:num w:numId="5">
    <w:abstractNumId w:val="4"/>
  </w:num>
  <w:num w:numId="6">
    <w:abstractNumId w:val="1"/>
  </w:num>
  <w:num w:numId="7">
    <w:abstractNumId w:val="9"/>
  </w:num>
  <w:num w:numId="8">
    <w:abstractNumId w:val="5"/>
  </w:num>
  <w:num w:numId="9">
    <w:abstractNumId w:val="7"/>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DB"/>
    <w:rsid w:val="0008655A"/>
    <w:rsid w:val="001656C7"/>
    <w:rsid w:val="001D4182"/>
    <w:rsid w:val="00206CDB"/>
    <w:rsid w:val="00334F2E"/>
    <w:rsid w:val="003E1AE9"/>
    <w:rsid w:val="005412D2"/>
    <w:rsid w:val="005B02F9"/>
    <w:rsid w:val="005D5F2A"/>
    <w:rsid w:val="005F2374"/>
    <w:rsid w:val="00761A45"/>
    <w:rsid w:val="00930EEA"/>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9F5BA"/>
  <w15:chartTrackingRefBased/>
  <w15:docId w15:val="{7A56FD40-DAF5-4BCD-92B5-0D67928C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CDB"/>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206C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6CDB"/>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206CDB"/>
    <w:pPr>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206CD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06CDB"/>
    <w:rPr>
      <w:rFonts w:eastAsia="Times New Roman" w:cs="Times New Roman"/>
      <w:bCs/>
      <w:sz w:val="28"/>
      <w:szCs w:val="26"/>
    </w:rPr>
  </w:style>
  <w:style w:type="character" w:customStyle="1" w:styleId="Heading3Char">
    <w:name w:val="Heading 3 Char"/>
    <w:basedOn w:val="DefaultParagraphFont"/>
    <w:link w:val="Heading3"/>
    <w:uiPriority w:val="99"/>
    <w:rsid w:val="00206CDB"/>
    <w:rPr>
      <w:rFonts w:eastAsia="Times New Roman" w:cs="Times New Roman"/>
      <w:b/>
      <w:bCs/>
      <w:szCs w:val="24"/>
    </w:rPr>
  </w:style>
  <w:style w:type="paragraph" w:styleId="NormalWeb">
    <w:name w:val="Normal (Web)"/>
    <w:basedOn w:val="Normal"/>
    <w:uiPriority w:val="99"/>
    <w:rsid w:val="00206CDB"/>
    <w:pPr>
      <w:spacing w:before="100" w:beforeAutospacing="1" w:after="100" w:afterAutospacing="1"/>
    </w:pPr>
  </w:style>
  <w:style w:type="paragraph" w:styleId="ListParagraph">
    <w:name w:val="List Paragraph"/>
    <w:basedOn w:val="Normal"/>
    <w:uiPriority w:val="34"/>
    <w:qFormat/>
    <w:rsid w:val="00206CDB"/>
    <w:pPr>
      <w:spacing w:after="200" w:line="276" w:lineRule="auto"/>
      <w:ind w:left="720"/>
    </w:pPr>
  </w:style>
  <w:style w:type="paragraph" w:styleId="Caption">
    <w:name w:val="caption"/>
    <w:basedOn w:val="TableofAuthorities"/>
    <w:next w:val="Normal"/>
    <w:unhideWhenUsed/>
    <w:qFormat/>
    <w:rsid w:val="00206CDB"/>
    <w:pPr>
      <w:pBdr>
        <w:top w:val="single" w:sz="4" w:space="1" w:color="auto"/>
        <w:left w:val="single" w:sz="4" w:space="4" w:color="auto"/>
        <w:bottom w:val="single" w:sz="4" w:space="1" w:color="auto"/>
        <w:right w:val="single" w:sz="4" w:space="4" w:color="auto"/>
      </w:pBdr>
      <w:shd w:val="pct5" w:color="auto" w:fill="auto"/>
      <w:ind w:left="0" w:firstLine="0"/>
    </w:pPr>
    <w:rPr>
      <w:b/>
      <w:bCs/>
      <w:i/>
      <w:iCs/>
    </w:rPr>
  </w:style>
  <w:style w:type="paragraph" w:styleId="PlainText">
    <w:name w:val="Plain Text"/>
    <w:basedOn w:val="Normal"/>
    <w:link w:val="PlainTextChar"/>
    <w:uiPriority w:val="99"/>
    <w:semiHidden/>
    <w:unhideWhenUsed/>
    <w:rsid w:val="00206CDB"/>
    <w:rPr>
      <w:rFonts w:ascii="Consolas" w:hAnsi="Consolas" w:cs="Consolas"/>
      <w:sz w:val="21"/>
      <w:szCs w:val="21"/>
    </w:rPr>
  </w:style>
  <w:style w:type="character" w:customStyle="1" w:styleId="PlainTextChar">
    <w:name w:val="Plain Text Char"/>
    <w:basedOn w:val="DefaultParagraphFont"/>
    <w:link w:val="PlainText"/>
    <w:uiPriority w:val="99"/>
    <w:semiHidden/>
    <w:rsid w:val="00206CDB"/>
    <w:rPr>
      <w:rFonts w:ascii="Consolas" w:eastAsia="Times New Roman" w:hAnsi="Consolas" w:cs="Consolas"/>
      <w:sz w:val="21"/>
      <w:szCs w:val="21"/>
    </w:rPr>
  </w:style>
  <w:style w:type="paragraph" w:styleId="TableofAuthorities">
    <w:name w:val="table of authorities"/>
    <w:basedOn w:val="Normal"/>
    <w:next w:val="Normal"/>
    <w:uiPriority w:val="99"/>
    <w:semiHidden/>
    <w:unhideWhenUsed/>
    <w:rsid w:val="00206CDB"/>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4</TotalTime>
  <Pages>10</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2019-02-22T22:06:00Z</dcterms:created>
  <dcterms:modified xsi:type="dcterms:W3CDTF">2019-07-25T16:35:00Z</dcterms:modified>
</cp:coreProperties>
</file>